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0017" w14:textId="6E9CB87E" w:rsidR="00711A72" w:rsidRPr="00711A72" w:rsidRDefault="00711A72" w:rsidP="00E8776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11A7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5B235B8" w14:textId="11B17DC8" w:rsidR="00711A72" w:rsidRDefault="00711A72" w:rsidP="00711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4D528A1A" w14:textId="4F29247F" w:rsidR="00724BA1" w:rsidRPr="00724BA1" w:rsidRDefault="00724BA1" w:rsidP="003C2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BA1">
        <w:rPr>
          <w:rFonts w:ascii="Times New Roman" w:hAnsi="Times New Roman" w:cs="Times New Roman"/>
          <w:b/>
          <w:sz w:val="24"/>
          <w:szCs w:val="24"/>
        </w:rPr>
        <w:t>KAUNO LOPŠELIO-DAREŽLIO „TUKAS“</w:t>
      </w:r>
      <w:r w:rsidR="003C2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A1">
        <w:rPr>
          <w:rFonts w:ascii="Times New Roman" w:hAnsi="Times New Roman" w:cs="Times New Roman"/>
          <w:b/>
          <w:sz w:val="24"/>
          <w:szCs w:val="24"/>
        </w:rPr>
        <w:t>VEIKLOS TOBULINIMO PLANAS</w:t>
      </w:r>
    </w:p>
    <w:tbl>
      <w:tblPr>
        <w:tblStyle w:val="Lentelstinklelis"/>
        <w:tblW w:w="157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544"/>
        <w:gridCol w:w="5730"/>
        <w:gridCol w:w="2066"/>
        <w:gridCol w:w="2131"/>
      </w:tblGrid>
      <w:tr w:rsidR="00902459" w:rsidRPr="000E480D" w14:paraId="497FA175" w14:textId="6D061DE9" w:rsidTr="00711A72">
        <w:trPr>
          <w:trHeight w:val="845"/>
        </w:trPr>
        <w:tc>
          <w:tcPr>
            <w:tcW w:w="2269" w:type="dxa"/>
            <w:vAlign w:val="center"/>
          </w:tcPr>
          <w:p w14:paraId="0573D08D" w14:textId="77777777" w:rsidR="00902459" w:rsidRPr="000E480D" w:rsidRDefault="00902459" w:rsidP="00425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b/>
                <w:sz w:val="24"/>
                <w:szCs w:val="24"/>
              </w:rPr>
              <w:t>TOBULINTINA VEIKLOS SRITIS</w:t>
            </w:r>
          </w:p>
        </w:tc>
        <w:tc>
          <w:tcPr>
            <w:tcW w:w="3544" w:type="dxa"/>
            <w:vAlign w:val="center"/>
          </w:tcPr>
          <w:p w14:paraId="4714746F" w14:textId="77777777" w:rsidR="00902459" w:rsidRPr="000E480D" w:rsidRDefault="00902459" w:rsidP="0042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PRIEMONĖS</w:t>
            </w:r>
          </w:p>
        </w:tc>
        <w:tc>
          <w:tcPr>
            <w:tcW w:w="5730" w:type="dxa"/>
            <w:vAlign w:val="center"/>
          </w:tcPr>
          <w:p w14:paraId="19C3DAAC" w14:textId="08FF3A8A" w:rsidR="00902459" w:rsidRPr="000E480D" w:rsidRDefault="00902459" w:rsidP="00902459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LAUKIAMI REZULTATAI</w:t>
            </w:r>
          </w:p>
        </w:tc>
        <w:tc>
          <w:tcPr>
            <w:tcW w:w="2066" w:type="dxa"/>
            <w:vAlign w:val="center"/>
          </w:tcPr>
          <w:p w14:paraId="76C39D8A" w14:textId="6C3DCBE4" w:rsidR="00902459" w:rsidRPr="000E480D" w:rsidRDefault="00902459" w:rsidP="00425E34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2131" w:type="dxa"/>
            <w:vAlign w:val="center"/>
          </w:tcPr>
          <w:p w14:paraId="1EB65FEB" w14:textId="734A7699" w:rsidR="00902459" w:rsidRPr="000E480D" w:rsidRDefault="00902459" w:rsidP="00E03D8C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ĮGYVENDINIMO TERMINAS</w:t>
            </w:r>
          </w:p>
        </w:tc>
      </w:tr>
      <w:tr w:rsidR="00902459" w:rsidRPr="000E480D" w14:paraId="2DD54F08" w14:textId="558A7FFA" w:rsidTr="00711A72">
        <w:trPr>
          <w:trHeight w:val="624"/>
        </w:trPr>
        <w:tc>
          <w:tcPr>
            <w:tcW w:w="2269" w:type="dxa"/>
            <w:vMerge w:val="restart"/>
            <w:vAlign w:val="center"/>
          </w:tcPr>
          <w:p w14:paraId="4061D5C1" w14:textId="77777777" w:rsidR="00902459" w:rsidRPr="002C51AE" w:rsidRDefault="00902459" w:rsidP="00733D76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C5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Vaiko gerovė</w:t>
            </w:r>
          </w:p>
        </w:tc>
        <w:tc>
          <w:tcPr>
            <w:tcW w:w="3544" w:type="dxa"/>
          </w:tcPr>
          <w:p w14:paraId="120D3178" w14:textId="52C37F20" w:rsidR="00902459" w:rsidRPr="00733D76" w:rsidRDefault="00C119FC" w:rsidP="0071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02459" w:rsidRPr="00733D76">
              <w:rPr>
                <w:rFonts w:ascii="Times New Roman" w:hAnsi="Times New Roman" w:cs="Times New Roman"/>
                <w:sz w:val="24"/>
                <w:szCs w:val="24"/>
              </w:rPr>
              <w:t>ocialinio-emocinio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59" w:rsidRPr="00733D76">
              <w:rPr>
                <w:rFonts w:ascii="Times New Roman" w:hAnsi="Times New Roman" w:cs="Times New Roman"/>
                <w:sz w:val="24"/>
                <w:szCs w:val="24"/>
              </w:rPr>
              <w:t>ugdymo programa „</w:t>
            </w:r>
            <w:proofErr w:type="spellStart"/>
            <w:r w:rsidR="00902459" w:rsidRPr="00733D76">
              <w:rPr>
                <w:rFonts w:ascii="Times New Roman" w:hAnsi="Times New Roman" w:cs="Times New Roman"/>
                <w:sz w:val="24"/>
                <w:szCs w:val="24"/>
              </w:rPr>
              <w:t>Kimochi</w:t>
            </w:r>
            <w:proofErr w:type="spellEnd"/>
            <w:r w:rsidR="00902459" w:rsidRPr="00733D7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44E3BDD6" w14:textId="13531477" w:rsidR="005E3D63" w:rsidRDefault="003D473D" w:rsidP="00A04CD1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Visose IU grupėse </w:t>
            </w:r>
            <w:r w:rsidR="009024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13D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02459" w:rsidRPr="00D24FF7">
              <w:rPr>
                <w:rFonts w:ascii="Times New Roman" w:hAnsi="Times New Roman" w:cs="Times New Roman"/>
                <w:sz w:val="24"/>
                <w:szCs w:val="24"/>
              </w:rPr>
              <w:t>tiprina vaikų savikontrol</w:t>
            </w:r>
            <w:r w:rsidR="00902459">
              <w:rPr>
                <w:rFonts w:ascii="Times New Roman" w:hAnsi="Times New Roman" w:cs="Times New Roman"/>
                <w:sz w:val="24"/>
                <w:szCs w:val="24"/>
              </w:rPr>
              <w:t>ė,</w:t>
            </w:r>
            <w:r w:rsidR="00902459" w:rsidRPr="00D24FF7">
              <w:rPr>
                <w:rFonts w:ascii="Times New Roman" w:hAnsi="Times New Roman" w:cs="Times New Roman"/>
                <w:sz w:val="24"/>
                <w:szCs w:val="24"/>
              </w:rPr>
              <w:t xml:space="preserve"> ugdo</w:t>
            </w:r>
            <w:r w:rsidR="00902459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902459" w:rsidRPr="00D24FF7">
              <w:rPr>
                <w:rFonts w:ascii="Times New Roman" w:hAnsi="Times New Roman" w:cs="Times New Roman"/>
                <w:sz w:val="24"/>
                <w:szCs w:val="24"/>
              </w:rPr>
              <w:t xml:space="preserve"> gebėjim</w:t>
            </w:r>
            <w:r w:rsidR="0090245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902459" w:rsidRPr="00D24FF7">
              <w:rPr>
                <w:rFonts w:ascii="Times New Roman" w:hAnsi="Times New Roman" w:cs="Times New Roman"/>
                <w:sz w:val="24"/>
                <w:szCs w:val="24"/>
              </w:rPr>
              <w:t xml:space="preserve"> kurti pozityvius santykius su kitais</w:t>
            </w:r>
            <w:r w:rsidR="00902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A2950" w14:textId="398881AE" w:rsidR="00902459" w:rsidRPr="000E480D" w:rsidRDefault="00902459" w:rsidP="00A04CD1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Formuojama pozityvi </w:t>
            </w:r>
            <w:r w:rsidRPr="00D24FF7">
              <w:rPr>
                <w:rFonts w:ascii="Times New Roman" w:hAnsi="Times New Roman" w:cs="Times New Roman"/>
                <w:sz w:val="24"/>
                <w:szCs w:val="24"/>
              </w:rPr>
              <w:t>bendravimo kultūr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4FF7">
              <w:rPr>
                <w:rFonts w:ascii="Times New Roman" w:hAnsi="Times New Roman" w:cs="Times New Roman"/>
                <w:sz w:val="24"/>
                <w:szCs w:val="24"/>
              </w:rPr>
              <w:t xml:space="preserve"> kasdienėje ugdymo aplinkoje.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Ugdomi vaikų gebėjimai, padedantys vaikams atpažinti jausmus, susitarti ir spręsti konfliktines situacijas.  </w:t>
            </w:r>
          </w:p>
        </w:tc>
        <w:tc>
          <w:tcPr>
            <w:tcW w:w="2066" w:type="dxa"/>
          </w:tcPr>
          <w:p w14:paraId="4F8148DE" w14:textId="13983820" w:rsidR="00902459" w:rsidRPr="000E480D" w:rsidRDefault="00902459" w:rsidP="00733D76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2131" w:type="dxa"/>
            <w:vAlign w:val="center"/>
          </w:tcPr>
          <w:p w14:paraId="3D5C9035" w14:textId="309B279B" w:rsidR="00902459" w:rsidRPr="000E480D" w:rsidRDefault="00902459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1F6C4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2459" w:rsidRPr="000E480D" w14:paraId="661FFF64" w14:textId="23151ACC" w:rsidTr="00711A72">
        <w:trPr>
          <w:trHeight w:val="622"/>
        </w:trPr>
        <w:tc>
          <w:tcPr>
            <w:tcW w:w="2269" w:type="dxa"/>
            <w:vMerge/>
            <w:vAlign w:val="center"/>
          </w:tcPr>
          <w:p w14:paraId="329CD7E3" w14:textId="77777777" w:rsidR="00902459" w:rsidRPr="002C51AE" w:rsidRDefault="00902459" w:rsidP="00733D76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12F243" w14:textId="05DFD865" w:rsidR="00902459" w:rsidRPr="00733D76" w:rsidRDefault="00902459" w:rsidP="00733D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Drauge su vaikais atnaujintos ir vizualizuotos grupių taisyklės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393BC0FE" w14:textId="4C00DC64" w:rsidR="00902459" w:rsidRPr="000E480D" w:rsidRDefault="003D473D" w:rsidP="00A04CD1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Visose IU grupėse t</w:t>
            </w:r>
            <w:r w:rsidR="00C94B3A">
              <w:rPr>
                <w:rFonts w:ascii="Times New Roman" w:hAnsi="Times New Roman" w:cs="Times New Roman"/>
                <w:sz w:val="24"/>
                <w:szCs w:val="24"/>
              </w:rPr>
              <w:t xml:space="preserve">aikomi aiškūs susitarimai ir pozityvios dėmesio sutelkimo strategijos, būdai, padedantys vaikams įvardyti jausmus, nukreipti bendravimą priimtinu būdu. </w:t>
            </w:r>
          </w:p>
        </w:tc>
        <w:tc>
          <w:tcPr>
            <w:tcW w:w="2066" w:type="dxa"/>
          </w:tcPr>
          <w:p w14:paraId="5FE4C32A" w14:textId="6FB526A3" w:rsidR="00902459" w:rsidRPr="000E480D" w:rsidRDefault="00902459" w:rsidP="00425E34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  <w:tc>
          <w:tcPr>
            <w:tcW w:w="2131" w:type="dxa"/>
            <w:vAlign w:val="center"/>
          </w:tcPr>
          <w:p w14:paraId="7BB1B9E8" w14:textId="023C3FFF" w:rsidR="00902459" w:rsidRPr="000E480D" w:rsidRDefault="00902459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1F6C4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2459" w:rsidRPr="000E480D" w14:paraId="6A271236" w14:textId="6C35E327" w:rsidTr="00711A72">
        <w:trPr>
          <w:trHeight w:val="622"/>
        </w:trPr>
        <w:tc>
          <w:tcPr>
            <w:tcW w:w="2269" w:type="dxa"/>
            <w:vMerge/>
            <w:vAlign w:val="center"/>
          </w:tcPr>
          <w:p w14:paraId="74959710" w14:textId="77777777" w:rsidR="00902459" w:rsidRPr="002C51AE" w:rsidRDefault="00902459" w:rsidP="00733D76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D124B2" w14:textId="2625B78D" w:rsidR="00902459" w:rsidRPr="00317344" w:rsidRDefault="00C119FC" w:rsidP="0031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902459" w:rsidRPr="00733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endri žodiniai/garsiniai susitarimai</w:t>
            </w:r>
            <w:r w:rsidR="00902459" w:rsidRPr="00733D76">
              <w:rPr>
                <w:rFonts w:ascii="Times New Roman" w:hAnsi="Times New Roman" w:cs="Times New Roman"/>
                <w:sz w:val="24"/>
                <w:szCs w:val="24"/>
              </w:rPr>
              <w:t>, išlaikant</w:t>
            </w:r>
            <w:r w:rsidR="00902459" w:rsidRPr="001C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vaikų ugdymo(</w:t>
            </w:r>
            <w:proofErr w:type="spellStart"/>
            <w:r w:rsidR="00902459" w:rsidRPr="001C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902459" w:rsidRPr="001C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vienovę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7CCB72EF" w14:textId="24E5D6E8" w:rsidR="00FF35AC" w:rsidRPr="00CC725F" w:rsidRDefault="00FF35AC" w:rsidP="00FF3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 xml:space="preserve">Sustiprintas mokytojo sąmoningas kalbos vartojimas ir reagavimas, siekiant nuosekliai užtikrinti lygias galimybes, pagarbos ir </w:t>
            </w:r>
            <w:proofErr w:type="spellStart"/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įtraukties</w:t>
            </w:r>
            <w:proofErr w:type="spellEnd"/>
            <w:r w:rsidRPr="00CC725F">
              <w:rPr>
                <w:rFonts w:ascii="Times New Roman" w:hAnsi="Times New Roman" w:cs="Times New Roman"/>
                <w:sz w:val="24"/>
                <w:szCs w:val="24"/>
              </w:rPr>
              <w:t xml:space="preserve"> principų laikymąsi kasdienėse ugdymo situacijose.</w:t>
            </w:r>
          </w:p>
          <w:p w14:paraId="5572092D" w14:textId="07525675" w:rsidR="00902459" w:rsidRPr="00CC725F" w:rsidRDefault="00902459" w:rsidP="00A04CD1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Sustiprintas grupės komunikacijos struktūravimas (kalbėjimo tvarka, perėjimų organizavimas), kad mokytojo komunikacija netaptų chaotiška.</w:t>
            </w:r>
          </w:p>
        </w:tc>
        <w:tc>
          <w:tcPr>
            <w:tcW w:w="2066" w:type="dxa"/>
          </w:tcPr>
          <w:p w14:paraId="57797915" w14:textId="253498FC" w:rsidR="00902459" w:rsidRPr="000E480D" w:rsidRDefault="00902459" w:rsidP="00425E34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  <w:tc>
          <w:tcPr>
            <w:tcW w:w="2131" w:type="dxa"/>
            <w:vAlign w:val="center"/>
          </w:tcPr>
          <w:p w14:paraId="6A584255" w14:textId="7A6779CE" w:rsidR="00902459" w:rsidRPr="000E480D" w:rsidRDefault="00902459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6C4D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2459" w:rsidRPr="000E480D" w14:paraId="48185FB8" w14:textId="779DE710" w:rsidTr="00711A72">
        <w:trPr>
          <w:trHeight w:val="831"/>
        </w:trPr>
        <w:tc>
          <w:tcPr>
            <w:tcW w:w="2269" w:type="dxa"/>
            <w:vMerge w:val="restart"/>
            <w:vAlign w:val="center"/>
          </w:tcPr>
          <w:p w14:paraId="6B45AC56" w14:textId="77777777" w:rsidR="00902459" w:rsidRPr="002C51AE" w:rsidRDefault="00902459" w:rsidP="00733D76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C5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Ugdymas(</w:t>
            </w:r>
            <w:proofErr w:type="spellStart"/>
            <w:r w:rsidRPr="002C5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is</w:t>
            </w:r>
            <w:proofErr w:type="spellEnd"/>
            <w:r w:rsidRPr="002C5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269708F8" w14:textId="3342D658" w:rsidR="00902459" w:rsidRPr="00733D76" w:rsidRDefault="00902459" w:rsidP="00733D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Mokymai</w:t>
            </w:r>
            <w:r w:rsidR="006E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33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skirti mažinti pedagogo dominavimą ir ugdyti pedagogų gebėjimą įgalinti visas 7 vaikų galias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757D32CF" w14:textId="0FB16CA0" w:rsidR="003C2CD1" w:rsidRPr="00CC725F" w:rsidRDefault="003C2CD1" w:rsidP="00C44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Sumažinti tiesioginiai suaugusiųjų nurodymai, pagalba vaikui teikiama kaip konsultavimas ar klausimų uždavimas, o ne veiksmų už vaiką atlikimas.</w:t>
            </w:r>
          </w:p>
        </w:tc>
        <w:tc>
          <w:tcPr>
            <w:tcW w:w="2066" w:type="dxa"/>
          </w:tcPr>
          <w:p w14:paraId="424765C7" w14:textId="7BDD8948" w:rsidR="00902459" w:rsidRPr="000E480D" w:rsidRDefault="00902459" w:rsidP="00733D76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Direktorės pavaduotoja ugdymui</w:t>
            </w:r>
          </w:p>
        </w:tc>
        <w:tc>
          <w:tcPr>
            <w:tcW w:w="2131" w:type="dxa"/>
            <w:vAlign w:val="center"/>
          </w:tcPr>
          <w:p w14:paraId="7FB64240" w14:textId="2862D627" w:rsidR="00902459" w:rsidRPr="000E480D" w:rsidRDefault="00E611C0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CD1" w:rsidRPr="000E480D" w14:paraId="6F3D525A" w14:textId="0D29EC64" w:rsidTr="00711A72">
        <w:trPr>
          <w:trHeight w:val="1043"/>
        </w:trPr>
        <w:tc>
          <w:tcPr>
            <w:tcW w:w="2269" w:type="dxa"/>
            <w:vMerge/>
            <w:vAlign w:val="center"/>
          </w:tcPr>
          <w:p w14:paraId="30E90D3B" w14:textId="77777777" w:rsidR="003C2CD1" w:rsidRPr="000E480D" w:rsidRDefault="003C2CD1" w:rsidP="00733D76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AD5C42" w14:textId="31555FA4" w:rsidR="003C2CD1" w:rsidRPr="00A846F5" w:rsidRDefault="003C2CD1" w:rsidP="00A846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3D76">
              <w:rPr>
                <w:rFonts w:ascii="Times New Roman" w:hAnsi="Times New Roman" w:cs="Times New Roman"/>
                <w:sz w:val="24"/>
                <w:szCs w:val="24"/>
              </w:rPr>
              <w:t>gdymo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uose</w:t>
            </w:r>
            <w:r w:rsidRPr="00733D76">
              <w:rPr>
                <w:rFonts w:ascii="Times New Roman" w:hAnsi="Times New Roman" w:cs="Times New Roman"/>
                <w:sz w:val="24"/>
                <w:szCs w:val="24"/>
              </w:rPr>
              <w:t xml:space="preserve"> numatomi alternatyvūs užduočių pateikimo, atlikimo ar pasiekimų demonstravimo būdai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 w:val="restart"/>
          </w:tcPr>
          <w:p w14:paraId="1048BCCB" w14:textId="6E53C33F" w:rsidR="003C2CD1" w:rsidRPr="000E480D" w:rsidRDefault="003C2CD1" w:rsidP="003C2CD1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Sudarytos galimybės vaikų pasirinkimams ir sprendimų priėmimui ugdymo procese, vaikams patiems plėtoti veiklos turinį ar keisti jo kryptį.</w:t>
            </w:r>
          </w:p>
        </w:tc>
        <w:tc>
          <w:tcPr>
            <w:tcW w:w="2066" w:type="dxa"/>
            <w:vMerge w:val="restart"/>
          </w:tcPr>
          <w:p w14:paraId="50B94949" w14:textId="77D33573" w:rsidR="003C2CD1" w:rsidRPr="000E480D" w:rsidRDefault="003C2CD1" w:rsidP="00733D76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Grupių mokytojos, direktorės pavaduotoja ugdymui</w:t>
            </w:r>
          </w:p>
        </w:tc>
        <w:tc>
          <w:tcPr>
            <w:tcW w:w="2131" w:type="dxa"/>
            <w:vMerge w:val="restart"/>
            <w:vAlign w:val="center"/>
          </w:tcPr>
          <w:p w14:paraId="1C5E5D92" w14:textId="2AE28423" w:rsidR="003C2CD1" w:rsidRPr="000E480D" w:rsidRDefault="003C2CD1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I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CD1" w:rsidRPr="000E480D" w14:paraId="3B7E9759" w14:textId="6B386814" w:rsidTr="00711A72">
        <w:trPr>
          <w:trHeight w:val="364"/>
        </w:trPr>
        <w:tc>
          <w:tcPr>
            <w:tcW w:w="2269" w:type="dxa"/>
            <w:vMerge/>
            <w:vAlign w:val="center"/>
          </w:tcPr>
          <w:p w14:paraId="1E8D48EC" w14:textId="77777777" w:rsidR="003C2CD1" w:rsidRPr="000E480D" w:rsidRDefault="003C2CD1" w:rsidP="00733D76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3353E3" w14:textId="2AEF1716" w:rsidR="003C2CD1" w:rsidRPr="00733D76" w:rsidRDefault="003C2CD1" w:rsidP="00733D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3B5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aikų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Pr="003B5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dėjų lentos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</w:t>
            </w:r>
            <w:r w:rsidRPr="003B5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rupėse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  <w:vMerge/>
          </w:tcPr>
          <w:p w14:paraId="21B9CA70" w14:textId="73D88E7E" w:rsidR="003C2CD1" w:rsidRPr="003B56A4" w:rsidRDefault="003C2CD1" w:rsidP="003B56A4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2525F040" w14:textId="01CC503A" w:rsidR="003C2CD1" w:rsidRPr="000E480D" w:rsidRDefault="003C2CD1" w:rsidP="00425E34">
            <w:pPr>
              <w:tabs>
                <w:tab w:val="left" w:pos="1168"/>
              </w:tabs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DFDB063" w14:textId="60363F8A" w:rsidR="003C2CD1" w:rsidRDefault="003C2CD1" w:rsidP="00452495">
            <w:pPr>
              <w:tabs>
                <w:tab w:val="left" w:pos="1168"/>
              </w:tabs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8" w:rsidRPr="000E480D" w14:paraId="096BB6CF" w14:textId="3864C02C" w:rsidTr="00711A72">
        <w:trPr>
          <w:trHeight w:val="449"/>
        </w:trPr>
        <w:tc>
          <w:tcPr>
            <w:tcW w:w="2269" w:type="dxa"/>
            <w:vMerge w:val="restart"/>
            <w:vAlign w:val="center"/>
          </w:tcPr>
          <w:p w14:paraId="6A1CDE86" w14:textId="68D2A931" w:rsidR="009732F8" w:rsidRPr="000E480D" w:rsidRDefault="009732F8" w:rsidP="00733D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 Ugdymo(</w:t>
            </w:r>
            <w:proofErr w:type="spellStart"/>
            <w:r w:rsidRPr="000E4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</w:t>
            </w:r>
            <w:proofErr w:type="spellEnd"/>
            <w:r w:rsidRPr="000E4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aplinka</w:t>
            </w:r>
          </w:p>
        </w:tc>
        <w:tc>
          <w:tcPr>
            <w:tcW w:w="3544" w:type="dxa"/>
          </w:tcPr>
          <w:p w14:paraId="37EF0FD3" w14:textId="1242072F" w:rsidR="009732F8" w:rsidRPr="00A846F5" w:rsidRDefault="009732F8" w:rsidP="008539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3D76">
              <w:rPr>
                <w:rFonts w:ascii="Times New Roman" w:hAnsi="Times New Roman" w:cs="Times New Roman"/>
                <w:sz w:val="24"/>
                <w:szCs w:val="24"/>
              </w:rPr>
              <w:t>ekomendacijos ugdymosi kontekstų kūrimui</w:t>
            </w:r>
          </w:p>
        </w:tc>
        <w:tc>
          <w:tcPr>
            <w:tcW w:w="5730" w:type="dxa"/>
            <w:vMerge w:val="restart"/>
          </w:tcPr>
          <w:p w14:paraId="3576E647" w14:textId="55875752" w:rsidR="009732F8" w:rsidRPr="00093CA6" w:rsidRDefault="009732F8" w:rsidP="00093C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Kuriami aiškiai vaikams atpažįstami, nuolat veikiantys, tačiau prireikus lengvai transformuojami ugdymo(</w:t>
            </w:r>
            <w:proofErr w:type="spellStart"/>
            <w:r w:rsidRPr="00A04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A04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kontekstai ir veiklos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erdvės</w:t>
            </w:r>
            <w:r w:rsidRPr="00A04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palaik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ančios</w:t>
            </w:r>
            <w:r w:rsidRPr="00A04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vaikų savarankišką, kryptingą ir individualius poreikius atliepiančią veiklą.</w:t>
            </w:r>
          </w:p>
        </w:tc>
        <w:tc>
          <w:tcPr>
            <w:tcW w:w="2066" w:type="dxa"/>
            <w:vMerge w:val="restart"/>
          </w:tcPr>
          <w:p w14:paraId="23F85899" w14:textId="171A76E2" w:rsidR="009732F8" w:rsidRPr="000E480D" w:rsidRDefault="009732F8" w:rsidP="00733D76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Direktorė, direktorės pavaduotoja ugdymui</w:t>
            </w:r>
          </w:p>
        </w:tc>
        <w:tc>
          <w:tcPr>
            <w:tcW w:w="2131" w:type="dxa"/>
            <w:vMerge w:val="restart"/>
            <w:vAlign w:val="center"/>
          </w:tcPr>
          <w:p w14:paraId="0C2D3BB8" w14:textId="5CAD6694" w:rsidR="009732F8" w:rsidRPr="000E480D" w:rsidRDefault="009732F8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2F8" w:rsidRPr="000E480D" w14:paraId="5D22AE75" w14:textId="0A3E677D" w:rsidTr="00711A72">
        <w:trPr>
          <w:trHeight w:val="764"/>
        </w:trPr>
        <w:tc>
          <w:tcPr>
            <w:tcW w:w="2269" w:type="dxa"/>
            <w:vMerge/>
            <w:vAlign w:val="center"/>
          </w:tcPr>
          <w:p w14:paraId="091267AF" w14:textId="77777777" w:rsidR="009732F8" w:rsidRPr="000E480D" w:rsidRDefault="009732F8" w:rsidP="00733D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205EA5" w14:textId="30F0DEA5" w:rsidR="009732F8" w:rsidRPr="00733D76" w:rsidRDefault="009732F8" w:rsidP="00733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endr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os,</w:t>
            </w: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 xml:space="preserve"> su kitomis įstaigomis ar iniciatyv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, kurios praturtina ugdymosi kontekstus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/>
          </w:tcPr>
          <w:p w14:paraId="054C5D37" w14:textId="77777777" w:rsidR="009732F8" w:rsidRPr="000E480D" w:rsidRDefault="009732F8" w:rsidP="00A04CD1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4EDBB103" w14:textId="4076AD6E" w:rsidR="009732F8" w:rsidRPr="000E480D" w:rsidRDefault="009732F8" w:rsidP="00425E34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1714EDAB" w14:textId="571AF6B0" w:rsidR="009732F8" w:rsidRPr="000E480D" w:rsidRDefault="009732F8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F8" w:rsidRPr="000E480D" w14:paraId="6E1B5970" w14:textId="77777777" w:rsidTr="00B46B07">
        <w:trPr>
          <w:trHeight w:val="1600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5A83D051" w14:textId="77777777" w:rsidR="009732F8" w:rsidRPr="000E480D" w:rsidRDefault="009732F8" w:rsidP="00733D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DDB9D27" w14:textId="3BA63031" w:rsidR="009732F8" w:rsidRPr="00D01E10" w:rsidRDefault="009732F8" w:rsidP="00733D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Vadovų ir pedagogų dalyvavimas KŠIC organizuojamuose metodiniuose renginiuose, idėjų pristatymas bendruomenei.</w:t>
            </w:r>
          </w:p>
        </w:tc>
        <w:tc>
          <w:tcPr>
            <w:tcW w:w="5730" w:type="dxa"/>
            <w:vMerge/>
            <w:tcBorders>
              <w:bottom w:val="single" w:sz="4" w:space="0" w:color="auto"/>
            </w:tcBorders>
          </w:tcPr>
          <w:p w14:paraId="3D289FF5" w14:textId="77777777" w:rsidR="009732F8" w:rsidRPr="000E480D" w:rsidRDefault="009732F8" w:rsidP="00A04CD1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bottom w:val="single" w:sz="4" w:space="0" w:color="auto"/>
            </w:tcBorders>
          </w:tcPr>
          <w:p w14:paraId="5A8D5C15" w14:textId="77777777" w:rsidR="009732F8" w:rsidRPr="000E480D" w:rsidRDefault="009732F8" w:rsidP="00425E34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vAlign w:val="center"/>
          </w:tcPr>
          <w:p w14:paraId="7C1288E9" w14:textId="77777777" w:rsidR="009732F8" w:rsidRPr="000E480D" w:rsidRDefault="009732F8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797" w:rsidRPr="000E480D" w14:paraId="32693F1C" w14:textId="18EE88FF" w:rsidTr="00711A72">
        <w:trPr>
          <w:trHeight w:val="1073"/>
        </w:trPr>
        <w:tc>
          <w:tcPr>
            <w:tcW w:w="2269" w:type="dxa"/>
            <w:vMerge/>
            <w:vAlign w:val="center"/>
          </w:tcPr>
          <w:p w14:paraId="168BADB3" w14:textId="77777777" w:rsidR="00B14797" w:rsidRPr="000E480D" w:rsidRDefault="00B14797" w:rsidP="00733D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9374C9" w14:textId="239A28A0" w:rsidR="00B14797" w:rsidRPr="00733D76" w:rsidRDefault="00B14797" w:rsidP="00733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C0B77">
              <w:rPr>
                <w:rFonts w:ascii="Times New Roman" w:hAnsi="Times New Roman" w:cs="Times New Roman"/>
                <w:sz w:val="24"/>
                <w:szCs w:val="24"/>
              </w:rPr>
              <w:t>apild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omos</w:t>
            </w:r>
            <w:r w:rsidRPr="001C0B77">
              <w:rPr>
                <w:rFonts w:ascii="Times New Roman" w:hAnsi="Times New Roman" w:cs="Times New Roman"/>
                <w:sz w:val="24"/>
                <w:szCs w:val="24"/>
              </w:rPr>
              <w:t xml:space="preserve"> UDM principus atitinkančios priemonės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C0B77">
              <w:rPr>
                <w:rFonts w:ascii="Times New Roman" w:hAnsi="Times New Roman" w:cs="Times New Roman"/>
                <w:sz w:val="24"/>
                <w:szCs w:val="24"/>
              </w:rPr>
              <w:t>rupių aplinko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je: </w:t>
            </w:r>
            <w:r w:rsidRPr="00733D76">
              <w:rPr>
                <w:rFonts w:ascii="Times New Roman" w:hAnsi="Times New Roman" w:cs="Times New Roman"/>
                <w:sz w:val="24"/>
                <w:szCs w:val="24"/>
              </w:rPr>
              <w:t>vizualiniai ženklai, dienotvarkės ar piktogramos, padedančios vaikams orientuotis ugdymo procese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 w:val="restart"/>
          </w:tcPr>
          <w:p w14:paraId="7A126CB1" w14:textId="0B09F5C6" w:rsidR="00B14797" w:rsidRPr="00A846F5" w:rsidRDefault="00B14797" w:rsidP="00A04CD1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1C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aplinka </w:t>
            </w:r>
            <w:r w:rsidR="00917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atitinka</w:t>
            </w:r>
            <w:r w:rsidRPr="001C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universalaus dizaino mokymuisi (UDM) principus, užtikrina priemonių prieinamumą, pasirinkimo galimybes</w:t>
            </w:r>
            <w:r w:rsidR="00582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suskirstyta į logiškai apibrėžtas mažesnės erdves su tam tikrai veiklai tinkamomis priemonėmis, skatinančiomis tyrinėti, žaisti ir ugdytis.</w:t>
            </w:r>
            <w:r w:rsidRPr="001C0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vMerge w:val="restart"/>
          </w:tcPr>
          <w:p w14:paraId="3EF404CF" w14:textId="1981878C" w:rsidR="00B14797" w:rsidRPr="000E480D" w:rsidRDefault="00B14797" w:rsidP="00425E34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Direktorė, direktorės pavaduotoja ugdymui, mokytojos, direktorės pavaduotoja ūkio reikalams</w:t>
            </w:r>
          </w:p>
        </w:tc>
        <w:tc>
          <w:tcPr>
            <w:tcW w:w="2131" w:type="dxa"/>
            <w:vMerge w:val="restart"/>
            <w:vAlign w:val="center"/>
          </w:tcPr>
          <w:p w14:paraId="120A6A3E" w14:textId="72E9B78E" w:rsidR="00B14797" w:rsidRPr="000E480D" w:rsidRDefault="00B05E0F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="00B14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797" w:rsidRPr="000E480D" w14:paraId="444BA77E" w14:textId="706B5F74" w:rsidTr="00711A72">
        <w:trPr>
          <w:trHeight w:val="444"/>
        </w:trPr>
        <w:tc>
          <w:tcPr>
            <w:tcW w:w="2269" w:type="dxa"/>
            <w:vMerge/>
            <w:vAlign w:val="center"/>
          </w:tcPr>
          <w:p w14:paraId="2263A827" w14:textId="77777777" w:rsidR="00B14797" w:rsidRPr="000E480D" w:rsidRDefault="00B14797" w:rsidP="00733D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369B22" w14:textId="6C153CF1" w:rsidR="00B14797" w:rsidRPr="00CC725F" w:rsidRDefault="00B14797" w:rsidP="00733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Nustatyti ugdymosi barjerai ir jų šalinimo galimybės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/>
          </w:tcPr>
          <w:p w14:paraId="5149DD96" w14:textId="0998698C" w:rsidR="00B14797" w:rsidRPr="00A846F5" w:rsidRDefault="00B14797" w:rsidP="00A846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1DEA65AF" w14:textId="21C18E6C" w:rsidR="00B14797" w:rsidRPr="000E480D" w:rsidRDefault="00B14797" w:rsidP="00425E34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239E830" w14:textId="67CC365D" w:rsidR="00B14797" w:rsidRPr="000E480D" w:rsidRDefault="00B14797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797" w:rsidRPr="000E480D" w14:paraId="1CAAE296" w14:textId="77777777" w:rsidTr="00711A72">
        <w:trPr>
          <w:trHeight w:val="444"/>
        </w:trPr>
        <w:tc>
          <w:tcPr>
            <w:tcW w:w="2269" w:type="dxa"/>
            <w:vMerge/>
            <w:vAlign w:val="center"/>
          </w:tcPr>
          <w:p w14:paraId="6B89E84B" w14:textId="77777777" w:rsidR="00B14797" w:rsidRPr="000E480D" w:rsidRDefault="00B14797" w:rsidP="00733D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A17C76" w14:textId="05CFD9F2" w:rsidR="00B14797" w:rsidRPr="00CC725F" w:rsidRDefault="00B14797" w:rsidP="00733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Erdvės grupėse atsipalaidavimui ir ramybei, kur vaikai gali pabūti vieni ir pailsėti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/>
          </w:tcPr>
          <w:p w14:paraId="62306E0B" w14:textId="77777777" w:rsidR="00B14797" w:rsidRPr="00A846F5" w:rsidRDefault="00B14797" w:rsidP="00A846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76FA7828" w14:textId="77777777" w:rsidR="00B14797" w:rsidRPr="000E480D" w:rsidRDefault="00B14797" w:rsidP="00425E34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01E08069" w14:textId="77777777" w:rsidR="00B14797" w:rsidRPr="000E480D" w:rsidRDefault="00B14797" w:rsidP="00452495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0F" w:rsidRPr="000E480D" w14:paraId="11F192CF" w14:textId="628D6DCD" w:rsidTr="00711A72">
        <w:trPr>
          <w:trHeight w:val="267"/>
        </w:trPr>
        <w:tc>
          <w:tcPr>
            <w:tcW w:w="2269" w:type="dxa"/>
            <w:vMerge/>
            <w:vAlign w:val="center"/>
          </w:tcPr>
          <w:p w14:paraId="25655A1A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3E5C4E" w14:textId="11E8DE13" w:rsidR="00B05E0F" w:rsidRPr="00CC725F" w:rsidRDefault="00B05E0F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Erdvės vaikų savarankiškai veiklai grupėse (bibliotekėlės, kūrybos zona, tyrinėjimo kampeliai ir pan.)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 w:val="restart"/>
          </w:tcPr>
          <w:p w14:paraId="29B2C6D0" w14:textId="09E3BAD2" w:rsidR="00B05E0F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Ugdymo(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04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aplinka pritaikyta vaikų galimybėms savarankiškai inicijuoti veiklą, patirtiniam mokymuisi, žaidimu grįstam ugdymui.</w:t>
            </w:r>
          </w:p>
          <w:p w14:paraId="738BB7AD" w14:textId="4860192E" w:rsidR="00B05E0F" w:rsidRPr="001C0B77" w:rsidRDefault="00B05E0F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Vaikai sistemingai pratinami prižiūrėti bendras grupės veiklų erdves ir priemones.</w:t>
            </w:r>
          </w:p>
        </w:tc>
        <w:tc>
          <w:tcPr>
            <w:tcW w:w="2066" w:type="dxa"/>
            <w:vMerge w:val="restart"/>
          </w:tcPr>
          <w:p w14:paraId="3F67F367" w14:textId="13F6DF92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Direktorė, direktorės pavaduotoja ugdymui, mokytojos, direktorės pavaduotoja ūkio reikalams</w:t>
            </w:r>
          </w:p>
        </w:tc>
        <w:tc>
          <w:tcPr>
            <w:tcW w:w="2131" w:type="dxa"/>
            <w:vMerge w:val="restart"/>
            <w:vAlign w:val="center"/>
          </w:tcPr>
          <w:p w14:paraId="66BA2EAE" w14:textId="68E1674A" w:rsidR="00B05E0F" w:rsidRPr="000E480D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7ED29F7F" w14:textId="77777777" w:rsidTr="00711A72">
        <w:trPr>
          <w:trHeight w:val="267"/>
        </w:trPr>
        <w:tc>
          <w:tcPr>
            <w:tcW w:w="2269" w:type="dxa"/>
            <w:vMerge/>
            <w:vAlign w:val="center"/>
          </w:tcPr>
          <w:p w14:paraId="110F70DB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69327D" w14:textId="2D9C4B7B" w:rsidR="00B05E0F" w:rsidRPr="00CC725F" w:rsidRDefault="00B05E0F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Vizualiniai ženklai, dienotvarkės ar piktogramos grupėse, padedančios vaikams orientuotis ugdymo procese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/>
          </w:tcPr>
          <w:p w14:paraId="16C2B057" w14:textId="77777777" w:rsidR="00B05E0F" w:rsidRPr="00A04CD1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45F3C5A8" w14:textId="77777777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33F2A5E2" w14:textId="77777777" w:rsidR="00B05E0F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0F" w:rsidRPr="000E480D" w14:paraId="3015C135" w14:textId="77777777" w:rsidTr="00711A72">
        <w:trPr>
          <w:trHeight w:val="267"/>
        </w:trPr>
        <w:tc>
          <w:tcPr>
            <w:tcW w:w="2269" w:type="dxa"/>
            <w:vMerge/>
            <w:vAlign w:val="center"/>
          </w:tcPr>
          <w:p w14:paraId="77F41485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C4233B" w14:textId="60087996" w:rsidR="00B05E0F" w:rsidRPr="00CC725F" w:rsidRDefault="00B05E0F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 xml:space="preserve">Priemonės siužetiniams ir vaidybiniams žaidimams grupėse </w:t>
            </w:r>
            <w:r w:rsidRPr="00CC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 lauke (lėlės, vaidmenų atributai,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 xml:space="preserve"> transporto priemonės ir pan.)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/>
          </w:tcPr>
          <w:p w14:paraId="24888473" w14:textId="77777777" w:rsidR="00B05E0F" w:rsidRPr="00A04CD1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244DE67A" w14:textId="77777777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5B8FA0B9" w14:textId="77777777" w:rsidR="00B05E0F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0F" w:rsidRPr="000E480D" w14:paraId="32351D00" w14:textId="0F9DC7EB" w:rsidTr="00711A72">
        <w:trPr>
          <w:trHeight w:val="1073"/>
        </w:trPr>
        <w:tc>
          <w:tcPr>
            <w:tcW w:w="2269" w:type="dxa"/>
            <w:vMerge/>
            <w:vAlign w:val="center"/>
          </w:tcPr>
          <w:p w14:paraId="7B99C13F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979AFA" w14:textId="402D4968" w:rsidR="00B05E0F" w:rsidRPr="00CC725F" w:rsidRDefault="00B05E0F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Miško aikštelė lauko pedagogikos principų įgyvendinimui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2690ABBB" w14:textId="77777777" w:rsidR="00B05E0F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C0B77">
              <w:rPr>
                <w:rFonts w:ascii="Times New Roman" w:hAnsi="Times New Roman" w:cs="Times New Roman"/>
                <w:sz w:val="24"/>
                <w:szCs w:val="24"/>
              </w:rPr>
              <w:t>žtikrina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 </w:t>
            </w:r>
            <w:r w:rsidRPr="001C0B77">
              <w:rPr>
                <w:rFonts w:ascii="Times New Roman" w:hAnsi="Times New Roman" w:cs="Times New Roman"/>
                <w:sz w:val="24"/>
                <w:szCs w:val="24"/>
              </w:rPr>
              <w:t>vaikų ugdomosios veiklos tęstinum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C0B77">
              <w:rPr>
                <w:rFonts w:ascii="Times New Roman" w:hAnsi="Times New Roman" w:cs="Times New Roman"/>
                <w:sz w:val="24"/>
                <w:szCs w:val="24"/>
              </w:rPr>
              <w:t xml:space="preserve"> lauke, naudojamos gamtinės, lauko ugdomosioms veikloms pritaikytos medžiagos ir priemonės.</w:t>
            </w:r>
          </w:p>
          <w:p w14:paraId="27BB660F" w14:textId="25BEDF7E" w:rsidR="00B05E0F" w:rsidRPr="000E480D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Pedagogo funkcija lauko aplinkų kontekste – ne tik saugumo užtikrinimas, bet ir aktyvių ugdymo(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procesų moderavimas. </w:t>
            </w:r>
          </w:p>
        </w:tc>
        <w:tc>
          <w:tcPr>
            <w:tcW w:w="2066" w:type="dxa"/>
          </w:tcPr>
          <w:p w14:paraId="572143DB" w14:textId="00EB9DAA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Direktorė, direktorės pavaduotoja ugdymui, mokytojos, direktorės pavaduotoja ūkio reikalams</w:t>
            </w:r>
          </w:p>
        </w:tc>
        <w:tc>
          <w:tcPr>
            <w:tcW w:w="2131" w:type="dxa"/>
            <w:vAlign w:val="center"/>
          </w:tcPr>
          <w:p w14:paraId="330B3BC4" w14:textId="3BBF6CC9" w:rsidR="00B05E0F" w:rsidRPr="000E480D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m. I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748AF9F0" w14:textId="77777777" w:rsidTr="00711A72">
        <w:trPr>
          <w:trHeight w:val="1073"/>
        </w:trPr>
        <w:tc>
          <w:tcPr>
            <w:tcW w:w="2269" w:type="dxa"/>
            <w:vMerge/>
            <w:vAlign w:val="center"/>
          </w:tcPr>
          <w:p w14:paraId="3BB11AAE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5950F7" w14:textId="2465F36C" w:rsidR="00B05E0F" w:rsidRPr="00733D76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Apibrėžtas skaitmeninių priemonių taikymo tikslingumas, jų pedagoginė paskirtis ir sąsajos su ugdymo(</w:t>
            </w:r>
            <w:proofErr w:type="spellStart"/>
            <w:r w:rsidRPr="00FE0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FE0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tikslais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4183DFB5" w14:textId="31B1C1A4" w:rsidR="00B05E0F" w:rsidRPr="000E480D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FE0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kaitmeninis turinys der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FE0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 patirtiniu, žaidimu grindžiamu ugdymu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7B2A03A2" w14:textId="6FB4E28C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Mokytojos, direktorės pavaduotoja ugdymui</w:t>
            </w:r>
          </w:p>
        </w:tc>
        <w:tc>
          <w:tcPr>
            <w:tcW w:w="2131" w:type="dxa"/>
            <w:vAlign w:val="center"/>
          </w:tcPr>
          <w:p w14:paraId="15DA58BD" w14:textId="721A72C7" w:rsidR="00B05E0F" w:rsidRPr="000E480D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E10" w:rsidRPr="000E480D" w14:paraId="2E00E7CA" w14:textId="29DE90DC" w:rsidTr="00711A72">
        <w:trPr>
          <w:trHeight w:val="409"/>
        </w:trPr>
        <w:tc>
          <w:tcPr>
            <w:tcW w:w="2269" w:type="dxa"/>
            <w:vMerge w:val="restart"/>
            <w:vAlign w:val="center"/>
          </w:tcPr>
          <w:p w14:paraId="0450D2C8" w14:textId="77777777" w:rsidR="00D01E10" w:rsidRPr="000E480D" w:rsidRDefault="00D01E10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Ugdymo strategijos</w:t>
            </w:r>
          </w:p>
        </w:tc>
        <w:tc>
          <w:tcPr>
            <w:tcW w:w="3544" w:type="dxa"/>
          </w:tcPr>
          <w:p w14:paraId="47382DCC" w14:textId="76384B80" w:rsidR="00D01E10" w:rsidRPr="000E480D" w:rsidRDefault="00D01E10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D76">
              <w:rPr>
                <w:rFonts w:ascii="Times New Roman" w:hAnsi="Times New Roman" w:cs="Times New Roman"/>
                <w:sz w:val="24"/>
                <w:szCs w:val="24"/>
              </w:rPr>
              <w:t xml:space="preserve">VDU dėstytojos doc. dr. Birutės </w:t>
            </w:r>
            <w:proofErr w:type="spellStart"/>
            <w:r w:rsidRPr="00733D76">
              <w:rPr>
                <w:rFonts w:ascii="Times New Roman" w:hAnsi="Times New Roman" w:cs="Times New Roman"/>
                <w:sz w:val="24"/>
                <w:szCs w:val="24"/>
              </w:rPr>
              <w:t>Autukevičienės</w:t>
            </w:r>
            <w:proofErr w:type="spellEnd"/>
            <w:r w:rsidRPr="00733D76">
              <w:rPr>
                <w:rFonts w:ascii="Times New Roman" w:hAnsi="Times New Roman" w:cs="Times New Roman"/>
                <w:sz w:val="24"/>
                <w:szCs w:val="24"/>
              </w:rPr>
              <w:t xml:space="preserve"> paskait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3D76">
              <w:rPr>
                <w:rFonts w:ascii="Times New Roman" w:hAnsi="Times New Roman" w:cs="Times New Roman"/>
                <w:sz w:val="24"/>
                <w:szCs w:val="24"/>
              </w:rPr>
              <w:t xml:space="preserve"> „Naujo ikimokyklinio ugdymo turinio kaita: kaip organizuoti prasmingą ir sėkmingą vaiko ugdymąsi šiandien?“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3E38A375" w14:textId="5DA25F2C" w:rsidR="00D01E10" w:rsidRPr="000E480D" w:rsidRDefault="00D01E10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Nuoseklus žaidimu, patirtimi ir vaiko iniciatyva grindžiamų ugdymo strategijų taikymas, užtikrinant, kad mokytojo vaidmuo kryptingai palaikytų vaikų savarankišką veiklą, tyrinėjimą, problemų sprendimą ir vaiko visuminę raidą, remiantis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įstaigos</w:t>
            </w:r>
            <w:r w:rsidRPr="00A93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ikimokyklinio ugdymo programoje nustatytais susitarimais.</w:t>
            </w:r>
          </w:p>
        </w:tc>
        <w:tc>
          <w:tcPr>
            <w:tcW w:w="2066" w:type="dxa"/>
          </w:tcPr>
          <w:p w14:paraId="67C5E577" w14:textId="5E5DE602" w:rsidR="00D01E10" w:rsidRPr="000E480D" w:rsidRDefault="00D01E10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Direktorės pavaduotoja ugdymui, mokytojos</w:t>
            </w:r>
          </w:p>
        </w:tc>
        <w:tc>
          <w:tcPr>
            <w:tcW w:w="2131" w:type="dxa"/>
            <w:vAlign w:val="center"/>
          </w:tcPr>
          <w:p w14:paraId="5A680A02" w14:textId="767DA5E1" w:rsidR="00D01E10" w:rsidRPr="000E480D" w:rsidRDefault="00D01E10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II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2F8" w:rsidRPr="000E480D" w14:paraId="430C027A" w14:textId="6454D082" w:rsidTr="00025182">
        <w:trPr>
          <w:trHeight w:val="1656"/>
        </w:trPr>
        <w:tc>
          <w:tcPr>
            <w:tcW w:w="2269" w:type="dxa"/>
            <w:vMerge/>
            <w:vAlign w:val="center"/>
          </w:tcPr>
          <w:p w14:paraId="3ACECFEC" w14:textId="77777777" w:rsidR="009732F8" w:rsidRPr="000E480D" w:rsidRDefault="009732F8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0B6448" w14:textId="68B56276" w:rsidR="009732F8" w:rsidRPr="00093CA6" w:rsidRDefault="009732F8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D76">
              <w:rPr>
                <w:rFonts w:ascii="Times New Roman" w:hAnsi="Times New Roman" w:cs="Times New Roman"/>
                <w:sz w:val="24"/>
                <w:szCs w:val="24"/>
              </w:rPr>
              <w:t>Ugdymo meistrų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733D76">
              <w:rPr>
                <w:rFonts w:ascii="Times New Roman" w:hAnsi="Times New Roman" w:cs="Times New Roman"/>
                <w:sz w:val="24"/>
                <w:szCs w:val="24"/>
              </w:rPr>
              <w:t xml:space="preserve"> „Ar įmanoma lauko pedagogika ne lauko darželyje?“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3D0ED2B4" w14:textId="3B1908F4" w:rsidR="009732F8" w:rsidRPr="00CC725F" w:rsidRDefault="009732F8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Pasikeitęs mokytojo vaidmuo lauko aplinkų kontekste: mokytojo funkcija lauke apima ne tik saugumo užtikrinimą, bet ir aktyvų ugdymo(</w:t>
            </w:r>
            <w:proofErr w:type="spellStart"/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) proceso moderavimą – stebėjimą, vaikų iniciatyvų palaikymą, kryptingų klausimų kėlimą, žaidimo ar tyrinėjimo praturtinimą.</w:t>
            </w:r>
          </w:p>
        </w:tc>
        <w:tc>
          <w:tcPr>
            <w:tcW w:w="2066" w:type="dxa"/>
          </w:tcPr>
          <w:p w14:paraId="6F12E5EF" w14:textId="1DE38916" w:rsidR="009732F8" w:rsidRPr="000E480D" w:rsidRDefault="009732F8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Direktorės pavaduotoja ugdymui, mokytojos</w:t>
            </w:r>
          </w:p>
        </w:tc>
        <w:tc>
          <w:tcPr>
            <w:tcW w:w="2131" w:type="dxa"/>
            <w:vAlign w:val="center"/>
          </w:tcPr>
          <w:p w14:paraId="24CFE6A4" w14:textId="12C612EF" w:rsidR="009732F8" w:rsidRPr="000E480D" w:rsidRDefault="009732F8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E10" w:rsidRPr="000E480D" w14:paraId="496423D4" w14:textId="56CFEC21" w:rsidTr="00711A72">
        <w:trPr>
          <w:trHeight w:val="420"/>
        </w:trPr>
        <w:tc>
          <w:tcPr>
            <w:tcW w:w="2269" w:type="dxa"/>
            <w:vMerge/>
            <w:vAlign w:val="center"/>
          </w:tcPr>
          <w:p w14:paraId="3EC7D784" w14:textId="77777777" w:rsidR="00D01E10" w:rsidRPr="000E480D" w:rsidRDefault="00D01E10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A3AA96" w14:textId="118F378A" w:rsidR="00D01E10" w:rsidRPr="00D01E10" w:rsidRDefault="00D01E10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E10">
              <w:rPr>
                <w:rFonts w:ascii="Times New Roman" w:hAnsi="Times New Roman" w:cs="Times New Roman"/>
                <w:sz w:val="24"/>
                <w:szCs w:val="24"/>
              </w:rPr>
              <w:t>Metodai „Bandyk pats“, „Pasakyk-išklausyk-susitark“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 w:val="restart"/>
          </w:tcPr>
          <w:p w14:paraId="6C3191CC" w14:textId="77777777" w:rsidR="00D01E10" w:rsidRPr="00CC725F" w:rsidRDefault="00D01E10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Ugdomas vaikų dėmesingumas, klausymosi kultūra ir struktūruotas dialogas grupėje.</w:t>
            </w:r>
          </w:p>
          <w:p w14:paraId="7343FE51" w14:textId="10F390C0" w:rsidR="00D01E10" w:rsidRPr="00CC725F" w:rsidRDefault="00D01E10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Sudaromos galimybės vaikams patiems įgyvendinti sumanymus, įveikti kliūtis ar spręsti problemas.</w:t>
            </w:r>
          </w:p>
        </w:tc>
        <w:tc>
          <w:tcPr>
            <w:tcW w:w="2066" w:type="dxa"/>
            <w:vMerge w:val="restart"/>
          </w:tcPr>
          <w:p w14:paraId="08D408D9" w14:textId="0B77C297" w:rsidR="00D01E10" w:rsidRPr="000E480D" w:rsidRDefault="00D01E10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Mokytojos, direktorės pavaduotoja ugdymui</w:t>
            </w:r>
          </w:p>
        </w:tc>
        <w:tc>
          <w:tcPr>
            <w:tcW w:w="2131" w:type="dxa"/>
            <w:vMerge w:val="restart"/>
            <w:vAlign w:val="center"/>
          </w:tcPr>
          <w:p w14:paraId="01A2A3EE" w14:textId="39969ABA" w:rsidR="00D01E10" w:rsidRPr="000E480D" w:rsidRDefault="00D01E10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I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E10" w:rsidRPr="000E480D" w14:paraId="1F571852" w14:textId="77777777" w:rsidTr="00711A72">
        <w:trPr>
          <w:trHeight w:val="420"/>
        </w:trPr>
        <w:tc>
          <w:tcPr>
            <w:tcW w:w="2269" w:type="dxa"/>
            <w:vMerge/>
            <w:vAlign w:val="center"/>
          </w:tcPr>
          <w:p w14:paraId="57AC050A" w14:textId="77777777" w:rsidR="00D01E10" w:rsidRPr="000E480D" w:rsidRDefault="00D01E10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4A2393" w14:textId="2ED099CF" w:rsidR="00D01E10" w:rsidRPr="00D01E10" w:rsidRDefault="00D01E10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E10">
              <w:rPr>
                <w:rFonts w:ascii="Times New Roman" w:hAnsi="Times New Roman" w:cs="Times New Roman"/>
                <w:sz w:val="24"/>
                <w:szCs w:val="24"/>
              </w:rPr>
              <w:t>Mindfulness</w:t>
            </w:r>
            <w:proofErr w:type="spellEnd"/>
            <w:r w:rsidRPr="00D01E10">
              <w:rPr>
                <w:rFonts w:ascii="Times New Roman" w:hAnsi="Times New Roman" w:cs="Times New Roman"/>
                <w:sz w:val="24"/>
                <w:szCs w:val="24"/>
              </w:rPr>
              <w:t xml:space="preserve"> (sąmoningo dėmesio) pratimai.</w:t>
            </w:r>
          </w:p>
        </w:tc>
        <w:tc>
          <w:tcPr>
            <w:tcW w:w="5730" w:type="dxa"/>
            <w:vMerge/>
          </w:tcPr>
          <w:p w14:paraId="2043C187" w14:textId="77777777" w:rsidR="00D01E10" w:rsidRPr="00CC725F" w:rsidRDefault="00D01E10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62642D16" w14:textId="77777777" w:rsidR="00D01E10" w:rsidRPr="000E480D" w:rsidRDefault="00D01E10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3822850D" w14:textId="77777777" w:rsidR="00D01E10" w:rsidRDefault="00D01E10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E10" w:rsidRPr="000E480D" w14:paraId="0E26C2AB" w14:textId="77777777" w:rsidTr="00711A72">
        <w:trPr>
          <w:trHeight w:val="850"/>
        </w:trPr>
        <w:tc>
          <w:tcPr>
            <w:tcW w:w="2269" w:type="dxa"/>
            <w:vMerge/>
            <w:vAlign w:val="center"/>
          </w:tcPr>
          <w:p w14:paraId="41569AB3" w14:textId="77777777" w:rsidR="00D01E10" w:rsidRPr="000E480D" w:rsidRDefault="00D01E10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279A3BD" w14:textId="20ADE17A" w:rsidR="00D01E10" w:rsidRPr="00D01E10" w:rsidRDefault="00D01E10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E10">
              <w:rPr>
                <w:rFonts w:ascii="Times New Roman" w:hAnsi="Times New Roman" w:cs="Times New Roman"/>
                <w:sz w:val="24"/>
                <w:szCs w:val="24"/>
              </w:rPr>
              <w:t>Sensorin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Pr="00D01E10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Pr="00D01E10">
              <w:rPr>
                <w:rFonts w:ascii="Times New Roman" w:hAnsi="Times New Roman" w:cs="Times New Roman"/>
                <w:sz w:val="24"/>
                <w:szCs w:val="24"/>
              </w:rPr>
              <w:t xml:space="preserve"> kaip nusiramin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1E10">
              <w:rPr>
                <w:rFonts w:ascii="Times New Roman" w:hAnsi="Times New Roman" w:cs="Times New Roman"/>
                <w:sz w:val="24"/>
                <w:szCs w:val="24"/>
              </w:rPr>
              <w:t>mo būd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taikymas. </w:t>
            </w:r>
          </w:p>
        </w:tc>
        <w:tc>
          <w:tcPr>
            <w:tcW w:w="5730" w:type="dxa"/>
            <w:vMerge/>
            <w:tcBorders>
              <w:bottom w:val="single" w:sz="4" w:space="0" w:color="auto"/>
            </w:tcBorders>
          </w:tcPr>
          <w:p w14:paraId="7F8B53E9" w14:textId="77777777" w:rsidR="00D01E10" w:rsidRPr="00CC725F" w:rsidRDefault="00D01E10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bottom w:val="single" w:sz="4" w:space="0" w:color="auto"/>
            </w:tcBorders>
          </w:tcPr>
          <w:p w14:paraId="1F1F1213" w14:textId="77777777" w:rsidR="00D01E10" w:rsidRPr="000E480D" w:rsidRDefault="00D01E10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vAlign w:val="center"/>
          </w:tcPr>
          <w:p w14:paraId="06052345" w14:textId="77777777" w:rsidR="00D01E10" w:rsidRDefault="00D01E10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E10" w:rsidRPr="000E480D" w14:paraId="24FA028A" w14:textId="57779130" w:rsidTr="00711A72">
        <w:trPr>
          <w:trHeight w:val="939"/>
        </w:trPr>
        <w:tc>
          <w:tcPr>
            <w:tcW w:w="2269" w:type="dxa"/>
            <w:vMerge/>
            <w:vAlign w:val="center"/>
          </w:tcPr>
          <w:p w14:paraId="21BF624B" w14:textId="77777777" w:rsidR="00D01E10" w:rsidRPr="000E480D" w:rsidRDefault="00D01E10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2AAEC3" w14:textId="08FD680B" w:rsidR="00D01E10" w:rsidRPr="00D01E10" w:rsidRDefault="00D01E10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Socialinių žaidimų savaitės.</w:t>
            </w:r>
          </w:p>
        </w:tc>
        <w:tc>
          <w:tcPr>
            <w:tcW w:w="5730" w:type="dxa"/>
            <w:vMerge w:val="restart"/>
          </w:tcPr>
          <w:p w14:paraId="34FDFAB7" w14:textId="77777777" w:rsidR="00D01E10" w:rsidRPr="00CC725F" w:rsidRDefault="00D01E10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Sistemingai plėtojami naratyviniai ir vaidmenų žaidimai.</w:t>
            </w:r>
          </w:p>
          <w:p w14:paraId="60D1B4B8" w14:textId="50B03BB7" w:rsidR="00D01E10" w:rsidRPr="00CC725F" w:rsidRDefault="00D01E10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F">
              <w:rPr>
                <w:rFonts w:ascii="Times New Roman" w:hAnsi="Times New Roman" w:cs="Times New Roman"/>
                <w:sz w:val="24"/>
                <w:szCs w:val="24"/>
              </w:rPr>
              <w:t>Vaikai skatinami prieš žaidimą ar jo metu tartis, planuoti siužetą, vaidmenis ir reflektuoti žaidimo patirtį.</w:t>
            </w:r>
          </w:p>
        </w:tc>
        <w:tc>
          <w:tcPr>
            <w:tcW w:w="2066" w:type="dxa"/>
            <w:vMerge w:val="restart"/>
          </w:tcPr>
          <w:p w14:paraId="6E7F4EAC" w14:textId="690BF9B7" w:rsidR="00D01E10" w:rsidRPr="000E480D" w:rsidRDefault="00D01E10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Mokytojos, direktorės pavaduotoja ugdymui</w:t>
            </w:r>
          </w:p>
        </w:tc>
        <w:tc>
          <w:tcPr>
            <w:tcW w:w="2131" w:type="dxa"/>
            <w:vAlign w:val="center"/>
          </w:tcPr>
          <w:p w14:paraId="2109D354" w14:textId="524AA17C" w:rsidR="00D01E10" w:rsidRPr="000E480D" w:rsidRDefault="009732F8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D01E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1E10">
              <w:rPr>
                <w:rFonts w:ascii="Times New Roman" w:hAnsi="Times New Roman" w:cs="Times New Roman"/>
                <w:sz w:val="24"/>
                <w:szCs w:val="24"/>
              </w:rPr>
              <w:t xml:space="preserve">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01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E10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="00D01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E10" w:rsidRPr="000E480D" w14:paraId="4C9700A6" w14:textId="77777777" w:rsidTr="00711A72">
        <w:trPr>
          <w:trHeight w:val="939"/>
        </w:trPr>
        <w:tc>
          <w:tcPr>
            <w:tcW w:w="2269" w:type="dxa"/>
            <w:vMerge/>
            <w:vAlign w:val="center"/>
          </w:tcPr>
          <w:p w14:paraId="69723633" w14:textId="77777777" w:rsidR="00D01E10" w:rsidRPr="000E480D" w:rsidRDefault="00D01E10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96231C" w14:textId="522FA5ED" w:rsidR="00D01E10" w:rsidRPr="00D01E10" w:rsidRDefault="00D01E10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Pedagogo inicijuoti ir </w:t>
            </w:r>
            <w:proofErr w:type="spellStart"/>
            <w:r w:rsidRPr="00D01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moderuojami</w:t>
            </w:r>
            <w:proofErr w:type="spellEnd"/>
            <w:r w:rsidRPr="00D01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žaidimai.</w:t>
            </w:r>
          </w:p>
        </w:tc>
        <w:tc>
          <w:tcPr>
            <w:tcW w:w="5730" w:type="dxa"/>
            <w:vMerge/>
          </w:tcPr>
          <w:p w14:paraId="63CDC82E" w14:textId="77777777" w:rsidR="00D01E10" w:rsidRPr="00CC725F" w:rsidRDefault="00D01E10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688572D6" w14:textId="77777777" w:rsidR="00D01E10" w:rsidRPr="000E480D" w:rsidRDefault="00D01E10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62936BAF" w14:textId="6EFA6CDA" w:rsidR="00D01E10" w:rsidRDefault="009732F8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2026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05E0F" w:rsidRPr="000E480D" w14:paraId="5F83EAD7" w14:textId="588CAF75" w:rsidTr="00711A72">
        <w:trPr>
          <w:trHeight w:val="1470"/>
        </w:trPr>
        <w:tc>
          <w:tcPr>
            <w:tcW w:w="2269" w:type="dxa"/>
            <w:vMerge w:val="restart"/>
            <w:vAlign w:val="center"/>
          </w:tcPr>
          <w:p w14:paraId="73C8F6E3" w14:textId="77777777" w:rsidR="00B05E0F" w:rsidRPr="00393FB7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F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Pasiekimų vertinimas ir ugdymo planavimas</w:t>
            </w:r>
          </w:p>
        </w:tc>
        <w:tc>
          <w:tcPr>
            <w:tcW w:w="3544" w:type="dxa"/>
          </w:tcPr>
          <w:p w14:paraId="14F143F5" w14:textId="7A586B97" w:rsidR="00B05E0F" w:rsidRPr="00D01E10" w:rsidRDefault="00B05E0F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E10">
              <w:rPr>
                <w:rFonts w:ascii="Times New Roman" w:hAnsi="Times New Roman" w:cs="Times New Roman"/>
                <w:sz w:val="24"/>
                <w:szCs w:val="24"/>
              </w:rPr>
              <w:t>Vidiniai mokymai apie formuojamąjį vertinimą, vaiko pažangos stebėjimo metodus, duomenų analizavimą ir interpretavimą.</w:t>
            </w:r>
          </w:p>
        </w:tc>
        <w:tc>
          <w:tcPr>
            <w:tcW w:w="5730" w:type="dxa"/>
          </w:tcPr>
          <w:p w14:paraId="18CCAE22" w14:textId="77777777" w:rsidR="00B05E0F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A0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aikų pažangos stebėsenos duomenys sistemingai analizuojami, jų pagrindu koreguojamas ugdymo turinys ir veiklos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78EDE8A" w14:textId="77777777" w:rsidR="00B05E0F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A0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aikų iniciatyvos integruojamos į trumpalaikį ir ilgalaikį planavimą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3CB3BC3" w14:textId="0EFC00F1" w:rsidR="00B05E0F" w:rsidRPr="000E480D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A0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gdymo sprendimų poveikis vaikų pažangai reguliariai reflektuojamas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59C1165E" w14:textId="0C70DDEB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Direktorė, direktorės pavaduotoja ugdymui, mokytojos</w:t>
            </w:r>
          </w:p>
        </w:tc>
        <w:tc>
          <w:tcPr>
            <w:tcW w:w="2131" w:type="dxa"/>
            <w:vAlign w:val="center"/>
          </w:tcPr>
          <w:p w14:paraId="2833F4E5" w14:textId="588A3BBB" w:rsidR="00B05E0F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32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2987A29E" w14:textId="77777777" w:rsidTr="00711A72">
        <w:trPr>
          <w:trHeight w:val="1194"/>
        </w:trPr>
        <w:tc>
          <w:tcPr>
            <w:tcW w:w="2269" w:type="dxa"/>
            <w:vMerge/>
            <w:vAlign w:val="center"/>
          </w:tcPr>
          <w:p w14:paraId="52C21C1B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BD2294" w14:textId="2D246981" w:rsidR="00B05E0F" w:rsidRPr="00E03D8C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Atnaujintas Ikimokyklinio ir priešmokyklinio amžiaus vaikų ugdymo(</w:t>
            </w:r>
            <w:proofErr w:type="spellStart"/>
            <w:r w:rsidRPr="0090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90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pažangos ir pasiekimų vertinimo tvarkos aprašas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21E481C0" w14:textId="12AFEC4F" w:rsidR="00B05E0F" w:rsidRPr="00603278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78">
              <w:rPr>
                <w:rFonts w:ascii="Times New Roman" w:hAnsi="Times New Roman" w:cs="Times New Roman"/>
                <w:sz w:val="24"/>
                <w:szCs w:val="24"/>
              </w:rPr>
              <w:t>Ikimokyklinio ir priešmokyklinio amžiaus vaikų ugdymo(</w:t>
            </w:r>
            <w:proofErr w:type="spellStart"/>
            <w:r w:rsidRPr="0060327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03278">
              <w:rPr>
                <w:rFonts w:ascii="Times New Roman" w:hAnsi="Times New Roman" w:cs="Times New Roman"/>
                <w:sz w:val="24"/>
                <w:szCs w:val="24"/>
              </w:rPr>
              <w:t>) pažangos ir pasiekimų vertinimo tvarkos aprašas suderintas su atnaujinta ikimokyklinio ugdymo programa.</w:t>
            </w:r>
          </w:p>
        </w:tc>
        <w:tc>
          <w:tcPr>
            <w:tcW w:w="2066" w:type="dxa"/>
          </w:tcPr>
          <w:p w14:paraId="56527180" w14:textId="0224605C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Direktorė, direktorės pavaduotoja ugdymui, mokytojos</w:t>
            </w:r>
          </w:p>
        </w:tc>
        <w:tc>
          <w:tcPr>
            <w:tcW w:w="2131" w:type="dxa"/>
            <w:vAlign w:val="center"/>
          </w:tcPr>
          <w:p w14:paraId="33D911AB" w14:textId="429D4947" w:rsidR="00B05E0F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14E5D2A7" w14:textId="77777777" w:rsidTr="00711A72">
        <w:trPr>
          <w:trHeight w:val="940"/>
        </w:trPr>
        <w:tc>
          <w:tcPr>
            <w:tcW w:w="2269" w:type="dxa"/>
            <w:vMerge/>
            <w:vAlign w:val="center"/>
          </w:tcPr>
          <w:p w14:paraId="3F2B7990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E3604F" w14:textId="68F05832" w:rsidR="00B05E0F" w:rsidRPr="00E03D8C" w:rsidRDefault="00B05E0F" w:rsidP="00B05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Atnaujinta</w:t>
            </w:r>
            <w:r w:rsidRPr="00E03D8C">
              <w:rPr>
                <w:rFonts w:ascii="Times New Roman" w:hAnsi="Times New Roman" w:cs="Times New Roman"/>
                <w:sz w:val="24"/>
                <w:szCs w:val="24"/>
              </w:rPr>
              <w:t xml:space="preserve"> mokytojų nekontaktinių valandų panaudojimo tvarka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2DB5F34D" w14:textId="77777777" w:rsidR="00B05E0F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Mokytojai sistemingai stebi ir </w:t>
            </w:r>
            <w:r w:rsidRPr="0090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fiks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uoja vaikų</w:t>
            </w:r>
            <w:r w:rsidRPr="0090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pasiekim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us. Dokumentuoja vaikų daromą pažangą, lygina ankstesnius vaiko pasiekimus su esamais.</w:t>
            </w:r>
          </w:p>
          <w:p w14:paraId="39B0444D" w14:textId="2B51AA1C" w:rsidR="00B05E0F" w:rsidRPr="0090387F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 į vertinimo ir planavimo procesą įtraukia švietimo pagalbos ir kitus specialistus.</w:t>
            </w:r>
          </w:p>
        </w:tc>
        <w:tc>
          <w:tcPr>
            <w:tcW w:w="2066" w:type="dxa"/>
          </w:tcPr>
          <w:p w14:paraId="0AF265C2" w14:textId="165C57DF" w:rsidR="00B05E0F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Direktorė, direktorės pavaduotoja ugdymui</w:t>
            </w:r>
          </w:p>
        </w:tc>
        <w:tc>
          <w:tcPr>
            <w:tcW w:w="2131" w:type="dxa"/>
            <w:vAlign w:val="center"/>
          </w:tcPr>
          <w:p w14:paraId="103679A8" w14:textId="50E9844B" w:rsidR="00B05E0F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</w:t>
            </w:r>
            <w:r w:rsidR="00BF179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60C04586" w14:textId="77777777" w:rsidTr="00711A72">
        <w:trPr>
          <w:trHeight w:val="1016"/>
        </w:trPr>
        <w:tc>
          <w:tcPr>
            <w:tcW w:w="2269" w:type="dxa"/>
            <w:vMerge/>
            <w:vAlign w:val="center"/>
          </w:tcPr>
          <w:p w14:paraId="4FCF16D6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AC00D8" w14:textId="67746A4D" w:rsidR="00B05E0F" w:rsidRPr="00E03D8C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Priimta nauja grupių ilgalaikių ugdymo planų rengimo tvarka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51502463" w14:textId="77777777" w:rsidR="00B05E0F" w:rsidRPr="00603278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78">
              <w:rPr>
                <w:rFonts w:ascii="Times New Roman" w:hAnsi="Times New Roman" w:cs="Times New Roman"/>
                <w:sz w:val="24"/>
                <w:szCs w:val="24"/>
              </w:rPr>
              <w:t>Planavimas orientuojamas į vaikų pasiekimų augimą, atsižvelgiant į vaikų ugdymosi pasiekimus.</w:t>
            </w:r>
          </w:p>
          <w:p w14:paraId="37EA48A0" w14:textId="323C6089" w:rsidR="00B05E0F" w:rsidRPr="00603278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78">
              <w:rPr>
                <w:rFonts w:ascii="Times New Roman" w:hAnsi="Times New Roman" w:cs="Times New Roman"/>
                <w:sz w:val="24"/>
                <w:szCs w:val="24"/>
              </w:rPr>
              <w:t>Planuose numatomos galimos vaikų tyrinėjimo kryptys, paliekant erdvės vaikų klausimams, idėjoms ir veiklos plėtojimui pagal jų interesus.</w:t>
            </w:r>
          </w:p>
          <w:p w14:paraId="39CF49B2" w14:textId="0A90C1C9" w:rsidR="00B05E0F" w:rsidRPr="00603278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78">
              <w:rPr>
                <w:rFonts w:ascii="Times New Roman" w:hAnsi="Times New Roman" w:cs="Times New Roman"/>
                <w:sz w:val="24"/>
                <w:szCs w:val="24"/>
              </w:rPr>
              <w:t>Refleksijose aptariama, ko vaikas išmoko, kokią pažangą padarė ar ką galėtų daryti kitaip.</w:t>
            </w:r>
          </w:p>
        </w:tc>
        <w:tc>
          <w:tcPr>
            <w:tcW w:w="2066" w:type="dxa"/>
          </w:tcPr>
          <w:p w14:paraId="1FA9529C" w14:textId="7B3FF1D7" w:rsidR="00B05E0F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Direktorės pavaduotoja ugdymui, mokytojos</w:t>
            </w:r>
          </w:p>
        </w:tc>
        <w:tc>
          <w:tcPr>
            <w:tcW w:w="2131" w:type="dxa"/>
            <w:vAlign w:val="center"/>
          </w:tcPr>
          <w:p w14:paraId="3DD2F2FA" w14:textId="4FE00270" w:rsidR="00B05E0F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756CBD89" w14:textId="6C46C36A" w:rsidTr="00711A72">
        <w:trPr>
          <w:trHeight w:val="420"/>
        </w:trPr>
        <w:tc>
          <w:tcPr>
            <w:tcW w:w="2269" w:type="dxa"/>
            <w:vMerge w:val="restart"/>
            <w:vAlign w:val="center"/>
          </w:tcPr>
          <w:p w14:paraId="62D51A03" w14:textId="77777777" w:rsidR="00B05E0F" w:rsidRPr="002C51AE" w:rsidRDefault="00B05E0F" w:rsidP="00B05E0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C5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6. Bendradarbiavimas su vaikų šeimomis</w:t>
            </w:r>
          </w:p>
        </w:tc>
        <w:tc>
          <w:tcPr>
            <w:tcW w:w="3544" w:type="dxa"/>
          </w:tcPr>
          <w:p w14:paraId="31883508" w14:textId="781EFAA3" w:rsidR="00B05E0F" w:rsidRPr="00A846F5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Pasiūlymų, pageidavimų, pagyrimų ir įžvalgų dėžutes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laiptinėse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3716E74A" w14:textId="70E61EB5" w:rsidR="00B05E0F" w:rsidRPr="000E480D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Sustiprinti įstaigos bendruomenės ryšiai ir pasitikėjimas.</w:t>
            </w:r>
          </w:p>
        </w:tc>
        <w:tc>
          <w:tcPr>
            <w:tcW w:w="2066" w:type="dxa"/>
          </w:tcPr>
          <w:p w14:paraId="4FD6905A" w14:textId="5F2DC24F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 xml:space="preserve">Direktorė, direktorės pavaduotoja </w:t>
            </w:r>
            <w:r w:rsidRPr="000E4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ugdymui, vaikų taryba, tėvų taryba</w:t>
            </w:r>
          </w:p>
        </w:tc>
        <w:tc>
          <w:tcPr>
            <w:tcW w:w="2131" w:type="dxa"/>
            <w:vAlign w:val="center"/>
          </w:tcPr>
          <w:p w14:paraId="71C3AB9F" w14:textId="7143D91A" w:rsidR="00B05E0F" w:rsidRPr="000E480D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6CA5AFC4" w14:textId="77777777" w:rsidTr="00711A72">
        <w:trPr>
          <w:trHeight w:val="561"/>
        </w:trPr>
        <w:tc>
          <w:tcPr>
            <w:tcW w:w="2269" w:type="dxa"/>
            <w:vMerge/>
            <w:vAlign w:val="center"/>
          </w:tcPr>
          <w:p w14:paraId="7319F769" w14:textId="77777777" w:rsidR="00B05E0F" w:rsidRPr="002C51AE" w:rsidRDefault="00B05E0F" w:rsidP="00B05E0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356271" w14:textId="57824A48" w:rsidR="00B05E0F" w:rsidRPr="00E03D8C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Lankstinukų ciklo sistema pagal vaikų amžių, raidą ir grupės vaikų individualius poreikius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14:paraId="61B420DA" w14:textId="20D871C3" w:rsidR="00B05E0F" w:rsidRPr="000E480D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Vykdoma reguliari tėvų švietimo vaikų ugdymo klausimais  sistema.</w:t>
            </w:r>
          </w:p>
        </w:tc>
        <w:tc>
          <w:tcPr>
            <w:tcW w:w="2066" w:type="dxa"/>
          </w:tcPr>
          <w:p w14:paraId="090E6717" w14:textId="61631F25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Mokytojos, švietimo pagalbos specialistai, direktorės pavaduotoja ugdymui</w:t>
            </w:r>
          </w:p>
        </w:tc>
        <w:tc>
          <w:tcPr>
            <w:tcW w:w="2131" w:type="dxa"/>
            <w:vAlign w:val="center"/>
          </w:tcPr>
          <w:p w14:paraId="08958F43" w14:textId="4BDDD528" w:rsidR="00B05E0F" w:rsidRPr="00711A72" w:rsidRDefault="009732F8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 2026 m. III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B05E0F" w:rsidRPr="000E480D" w14:paraId="6A16398B" w14:textId="77777777" w:rsidTr="00711A72">
        <w:trPr>
          <w:trHeight w:val="385"/>
        </w:trPr>
        <w:tc>
          <w:tcPr>
            <w:tcW w:w="2269" w:type="dxa"/>
            <w:vMerge/>
            <w:vAlign w:val="center"/>
          </w:tcPr>
          <w:p w14:paraId="2B54D569" w14:textId="77777777" w:rsidR="00B05E0F" w:rsidRPr="002C51AE" w:rsidRDefault="00B05E0F" w:rsidP="00B05E0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8BE380" w14:textId="3C688ACB" w:rsidR="00B05E0F" w:rsidRPr="00E03D8C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0E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ų įsitraukimas į </w:t>
            </w:r>
            <w:r w:rsidRPr="000E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Pr="000E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„Besimokančių darželių tinklas 2026“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30" w:type="dxa"/>
            <w:vMerge w:val="restart"/>
          </w:tcPr>
          <w:p w14:paraId="4E9C195B" w14:textId="3F66794A" w:rsidR="00B05E0F" w:rsidRPr="000E480D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Padidėjęs tėvų įsitraukimas į ugdymo turinio planavimą, </w:t>
            </w:r>
            <w:r w:rsidRPr="003C2CD1">
              <w:rPr>
                <w:rFonts w:ascii="Times New Roman" w:hAnsi="Times New Roman" w:cs="Times New Roman"/>
                <w:sz w:val="24"/>
                <w:szCs w:val="24"/>
              </w:rPr>
              <w:t>ugdymo aplinkų kūrimą. Jų lūkesčiai tampa pagrindu priimamiems sprendimams.</w:t>
            </w:r>
          </w:p>
        </w:tc>
        <w:tc>
          <w:tcPr>
            <w:tcW w:w="2066" w:type="dxa"/>
            <w:vMerge w:val="restart"/>
          </w:tcPr>
          <w:p w14:paraId="41A394D8" w14:textId="3DF7747C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Mokytojos, direktorės pavaduotoja ugdymui, direktorė</w:t>
            </w:r>
          </w:p>
        </w:tc>
        <w:tc>
          <w:tcPr>
            <w:tcW w:w="2131" w:type="dxa"/>
            <w:vMerge w:val="restart"/>
            <w:vAlign w:val="center"/>
          </w:tcPr>
          <w:p w14:paraId="3B91F950" w14:textId="57755574" w:rsidR="00B05E0F" w:rsidRPr="000E480D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52A3263C" w14:textId="77777777" w:rsidTr="00711A72">
        <w:trPr>
          <w:trHeight w:val="393"/>
        </w:trPr>
        <w:tc>
          <w:tcPr>
            <w:tcW w:w="2269" w:type="dxa"/>
            <w:vMerge/>
            <w:vAlign w:val="center"/>
          </w:tcPr>
          <w:p w14:paraId="01D9B31D" w14:textId="77777777" w:rsidR="00B05E0F" w:rsidRPr="002C51AE" w:rsidRDefault="00B05E0F" w:rsidP="00B05E0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B915C9" w14:textId="7D293D6F" w:rsidR="00B05E0F" w:rsidRPr="003C2CD1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Tyrima</w:t>
            </w:r>
            <w:r w:rsidR="00973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C2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2CD1">
              <w:rPr>
                <w:rFonts w:ascii="Times New Roman" w:hAnsi="Times New Roman" w:cs="Times New Roman"/>
                <w:sz w:val="24"/>
                <w:szCs w:val="24"/>
              </w:rPr>
              <w:t>tėvų įžvalgoms ir pasiūlymams apie įstaigos lauko erdvių tobulinimą</w:t>
            </w:r>
            <w:r w:rsidR="0071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0" w:type="dxa"/>
            <w:vMerge/>
          </w:tcPr>
          <w:p w14:paraId="328586FB" w14:textId="5947DB75" w:rsidR="00B05E0F" w:rsidRPr="003C2CD1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47981630" w14:textId="318E5FA1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30980276" w14:textId="28FEF121" w:rsidR="00B05E0F" w:rsidRPr="000E480D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0F" w:rsidRPr="000E480D" w14:paraId="07C99C61" w14:textId="7A9BE52D" w:rsidTr="00711A72">
        <w:trPr>
          <w:trHeight w:val="1018"/>
        </w:trPr>
        <w:tc>
          <w:tcPr>
            <w:tcW w:w="2269" w:type="dxa"/>
            <w:vMerge w:val="restart"/>
            <w:vAlign w:val="center"/>
          </w:tcPr>
          <w:p w14:paraId="67B01FBC" w14:textId="77777777" w:rsidR="00B05E0F" w:rsidRPr="002C51AE" w:rsidRDefault="00B05E0F" w:rsidP="00B05E0F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2C51AE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7. Besimokančios organizacijos kultūra</w:t>
            </w:r>
          </w:p>
        </w:tc>
        <w:tc>
          <w:tcPr>
            <w:tcW w:w="3544" w:type="dxa"/>
          </w:tcPr>
          <w:p w14:paraId="3C6EE26A" w14:textId="74AE7E17" w:rsidR="00B05E0F" w:rsidRPr="00E03D8C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Struktūrizuot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os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darbo komand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s: paskir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ti 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kiekvienos darbo grupės atsaking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asm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enys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už bendruomenės informavimą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apie 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projekt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ų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eig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ą</w:t>
            </w:r>
            <w:r w:rsidRPr="00E03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rezultatų pristatymą ir grįžtamąjį ryšį įstaigos bendruomenei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30" w:type="dxa"/>
            <w:vMerge w:val="restart"/>
          </w:tcPr>
          <w:p w14:paraId="6B9FEDFD" w14:textId="77777777" w:rsidR="00B05E0F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Įstaigos bendruomenė dalyvauja sprendimų įgyvendinime ir poveikio vertinimo etapuose.</w:t>
            </w:r>
          </w:p>
          <w:p w14:paraId="7F4F40D4" w14:textId="72FA9D2E" w:rsidR="00B05E0F" w:rsidRPr="000E480D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 apmąsto ir įsivertina savo pedagoginės praktikos veiksmingumą bei siekia gauti grįžtamąjį ryšį iš kitų kolegų, įstaigos bendruomenės narių.</w:t>
            </w:r>
          </w:p>
        </w:tc>
        <w:tc>
          <w:tcPr>
            <w:tcW w:w="2066" w:type="dxa"/>
            <w:vMerge w:val="restart"/>
          </w:tcPr>
          <w:p w14:paraId="20F59108" w14:textId="3B8739D8" w:rsidR="00B05E0F" w:rsidRPr="00A846F5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Direktorė, d</w:t>
            </w:r>
            <w:r w:rsidRPr="000E480D">
              <w:rPr>
                <w:rFonts w:ascii="Times New Roman" w:hAnsi="Times New Roman" w:cs="Times New Roman"/>
                <w:sz w:val="24"/>
                <w:szCs w:val="24"/>
              </w:rPr>
              <w:t>irektorės pavaduotoja ugdymui, mokytojos</w:t>
            </w:r>
          </w:p>
        </w:tc>
        <w:tc>
          <w:tcPr>
            <w:tcW w:w="2131" w:type="dxa"/>
            <w:vMerge w:val="restart"/>
            <w:vAlign w:val="center"/>
          </w:tcPr>
          <w:p w14:paraId="49B3D746" w14:textId="36759BBB" w:rsidR="00B05E0F" w:rsidRPr="000E480D" w:rsidRDefault="009732F8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B05E0F">
              <w:rPr>
                <w:rFonts w:ascii="Times New Roman" w:hAnsi="Times New Roman" w:cs="Times New Roman"/>
                <w:sz w:val="24"/>
                <w:szCs w:val="24"/>
              </w:rPr>
              <w:t xml:space="preserve">2026 m. III </w:t>
            </w:r>
            <w:proofErr w:type="spellStart"/>
            <w:r w:rsidR="00B05E0F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="00B05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E0F" w:rsidRPr="000E480D" w14:paraId="2A4734FA" w14:textId="77777777" w:rsidTr="00711A72">
        <w:trPr>
          <w:trHeight w:val="420"/>
        </w:trPr>
        <w:tc>
          <w:tcPr>
            <w:tcW w:w="2269" w:type="dxa"/>
            <w:vMerge/>
            <w:vAlign w:val="center"/>
          </w:tcPr>
          <w:p w14:paraId="0BFEEB5E" w14:textId="77777777" w:rsidR="00B05E0F" w:rsidRPr="000E480D" w:rsidRDefault="00B05E0F" w:rsidP="00B05E0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983FA0" w14:textId="65281E8E" w:rsidR="00B05E0F" w:rsidRPr="00E03D8C" w:rsidRDefault="00B05E0F" w:rsidP="00B05E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 w:rsidRPr="000E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endri vaikų tarybos, tėvų tarybos ir administracijos susirinkimai</w:t>
            </w:r>
            <w:r w:rsidR="0071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30" w:type="dxa"/>
            <w:vMerge/>
          </w:tcPr>
          <w:p w14:paraId="6F01EA7F" w14:textId="7FF38020" w:rsidR="00B05E0F" w:rsidRPr="000E480D" w:rsidRDefault="00B05E0F" w:rsidP="00B05E0F">
            <w:pPr>
              <w:tabs>
                <w:tab w:val="left" w:pos="11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64CDCC18" w14:textId="54DEBC88" w:rsidR="00B05E0F" w:rsidRPr="000E480D" w:rsidRDefault="00B05E0F" w:rsidP="00B05E0F">
            <w:pPr>
              <w:tabs>
                <w:tab w:val="left" w:pos="116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461B8EEF" w14:textId="136CED77" w:rsidR="00B05E0F" w:rsidRPr="000E480D" w:rsidRDefault="00B05E0F" w:rsidP="00B05E0F">
            <w:pPr>
              <w:tabs>
                <w:tab w:val="left" w:pos="1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DC9604" w14:textId="77777777" w:rsidR="00724BA1" w:rsidRDefault="00724BA1" w:rsidP="00724BA1">
      <w:pPr>
        <w:jc w:val="center"/>
      </w:pPr>
    </w:p>
    <w:sectPr w:rsidR="00724BA1" w:rsidSect="00641E41">
      <w:headerReference w:type="default" r:id="rId8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207A" w14:textId="77777777" w:rsidR="00DC79FA" w:rsidRDefault="00DC79FA" w:rsidP="000E480D">
      <w:pPr>
        <w:spacing w:after="0" w:line="240" w:lineRule="auto"/>
      </w:pPr>
      <w:r>
        <w:separator/>
      </w:r>
    </w:p>
  </w:endnote>
  <w:endnote w:type="continuationSeparator" w:id="0">
    <w:p w14:paraId="61941CD6" w14:textId="77777777" w:rsidR="00DC79FA" w:rsidRDefault="00DC79FA" w:rsidP="000E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E572" w14:textId="77777777" w:rsidR="00DC79FA" w:rsidRDefault="00DC79FA" w:rsidP="000E480D">
      <w:pPr>
        <w:spacing w:after="0" w:line="240" w:lineRule="auto"/>
      </w:pPr>
      <w:r>
        <w:separator/>
      </w:r>
    </w:p>
  </w:footnote>
  <w:footnote w:type="continuationSeparator" w:id="0">
    <w:p w14:paraId="19125ABE" w14:textId="77777777" w:rsidR="00DC79FA" w:rsidRDefault="00DC79FA" w:rsidP="000E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586751"/>
      <w:docPartObj>
        <w:docPartGallery w:val="Page Numbers (Top of Page)"/>
        <w:docPartUnique/>
      </w:docPartObj>
    </w:sdtPr>
    <w:sdtEndPr/>
    <w:sdtContent>
      <w:p w14:paraId="490063D8" w14:textId="2F3A7540" w:rsidR="00641E41" w:rsidRDefault="00641E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81649" w14:textId="77777777" w:rsidR="00641E41" w:rsidRDefault="00641E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CAD"/>
    <w:multiLevelType w:val="hybridMultilevel"/>
    <w:tmpl w:val="C178B874"/>
    <w:lvl w:ilvl="0" w:tplc="0427000F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2" w:hanging="360"/>
      </w:pPr>
    </w:lvl>
    <w:lvl w:ilvl="2" w:tplc="0427001B" w:tentative="1">
      <w:start w:val="1"/>
      <w:numFmt w:val="lowerRoman"/>
      <w:lvlText w:val="%3."/>
      <w:lvlJc w:val="right"/>
      <w:pPr>
        <w:ind w:left="3152" w:hanging="180"/>
      </w:pPr>
    </w:lvl>
    <w:lvl w:ilvl="3" w:tplc="0427000F" w:tentative="1">
      <w:start w:val="1"/>
      <w:numFmt w:val="decimal"/>
      <w:lvlText w:val="%4."/>
      <w:lvlJc w:val="left"/>
      <w:pPr>
        <w:ind w:left="3872" w:hanging="360"/>
      </w:pPr>
    </w:lvl>
    <w:lvl w:ilvl="4" w:tplc="04270019" w:tentative="1">
      <w:start w:val="1"/>
      <w:numFmt w:val="lowerLetter"/>
      <w:lvlText w:val="%5."/>
      <w:lvlJc w:val="left"/>
      <w:pPr>
        <w:ind w:left="4592" w:hanging="360"/>
      </w:pPr>
    </w:lvl>
    <w:lvl w:ilvl="5" w:tplc="0427001B" w:tentative="1">
      <w:start w:val="1"/>
      <w:numFmt w:val="lowerRoman"/>
      <w:lvlText w:val="%6."/>
      <w:lvlJc w:val="right"/>
      <w:pPr>
        <w:ind w:left="5312" w:hanging="180"/>
      </w:pPr>
    </w:lvl>
    <w:lvl w:ilvl="6" w:tplc="0427000F" w:tentative="1">
      <w:start w:val="1"/>
      <w:numFmt w:val="decimal"/>
      <w:lvlText w:val="%7."/>
      <w:lvlJc w:val="left"/>
      <w:pPr>
        <w:ind w:left="6032" w:hanging="360"/>
      </w:pPr>
    </w:lvl>
    <w:lvl w:ilvl="7" w:tplc="04270019" w:tentative="1">
      <w:start w:val="1"/>
      <w:numFmt w:val="lowerLetter"/>
      <w:lvlText w:val="%8."/>
      <w:lvlJc w:val="left"/>
      <w:pPr>
        <w:ind w:left="6752" w:hanging="360"/>
      </w:pPr>
    </w:lvl>
    <w:lvl w:ilvl="8" w:tplc="042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3847E5F"/>
    <w:multiLevelType w:val="hybridMultilevel"/>
    <w:tmpl w:val="A97A5D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608B"/>
    <w:multiLevelType w:val="hybridMultilevel"/>
    <w:tmpl w:val="2EF0114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178CC"/>
    <w:multiLevelType w:val="hybridMultilevel"/>
    <w:tmpl w:val="E09441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2784"/>
    <w:multiLevelType w:val="hybridMultilevel"/>
    <w:tmpl w:val="626C25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6BB7"/>
    <w:multiLevelType w:val="hybridMultilevel"/>
    <w:tmpl w:val="42F067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1ECD"/>
    <w:multiLevelType w:val="hybridMultilevel"/>
    <w:tmpl w:val="E982C50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D306B"/>
    <w:multiLevelType w:val="hybridMultilevel"/>
    <w:tmpl w:val="6AA25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71C3"/>
    <w:multiLevelType w:val="hybridMultilevel"/>
    <w:tmpl w:val="BF9A1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50A88"/>
    <w:multiLevelType w:val="hybridMultilevel"/>
    <w:tmpl w:val="344A4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6177"/>
    <w:multiLevelType w:val="hybridMultilevel"/>
    <w:tmpl w:val="E8B89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32B38"/>
    <w:multiLevelType w:val="hybridMultilevel"/>
    <w:tmpl w:val="85942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733C1"/>
    <w:multiLevelType w:val="hybridMultilevel"/>
    <w:tmpl w:val="E8B89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E4AFF"/>
    <w:multiLevelType w:val="hybridMultilevel"/>
    <w:tmpl w:val="2F5073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2446D"/>
    <w:multiLevelType w:val="hybridMultilevel"/>
    <w:tmpl w:val="A97A5D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1DE3"/>
    <w:multiLevelType w:val="hybridMultilevel"/>
    <w:tmpl w:val="E8B89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41935"/>
    <w:multiLevelType w:val="hybridMultilevel"/>
    <w:tmpl w:val="E8B89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C524E"/>
    <w:multiLevelType w:val="hybridMultilevel"/>
    <w:tmpl w:val="97B22D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27F2"/>
    <w:multiLevelType w:val="hybridMultilevel"/>
    <w:tmpl w:val="E8B89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2244B"/>
    <w:multiLevelType w:val="hybridMultilevel"/>
    <w:tmpl w:val="344A4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C3195"/>
    <w:multiLevelType w:val="hybridMultilevel"/>
    <w:tmpl w:val="E982C504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917E8B"/>
    <w:multiLevelType w:val="hybridMultilevel"/>
    <w:tmpl w:val="D5B039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A044D"/>
    <w:multiLevelType w:val="hybridMultilevel"/>
    <w:tmpl w:val="8676CAD4"/>
    <w:lvl w:ilvl="0" w:tplc="042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541719"/>
    <w:multiLevelType w:val="hybridMultilevel"/>
    <w:tmpl w:val="BF9A1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74FB2"/>
    <w:multiLevelType w:val="hybridMultilevel"/>
    <w:tmpl w:val="DC646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17CF2"/>
    <w:multiLevelType w:val="hybridMultilevel"/>
    <w:tmpl w:val="344A4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3"/>
  </w:num>
  <w:num w:numId="5">
    <w:abstractNumId w:val="6"/>
  </w:num>
  <w:num w:numId="6">
    <w:abstractNumId w:val="21"/>
  </w:num>
  <w:num w:numId="7">
    <w:abstractNumId w:val="5"/>
  </w:num>
  <w:num w:numId="8">
    <w:abstractNumId w:val="4"/>
  </w:num>
  <w:num w:numId="9">
    <w:abstractNumId w:val="16"/>
  </w:num>
  <w:num w:numId="10">
    <w:abstractNumId w:val="12"/>
  </w:num>
  <w:num w:numId="11">
    <w:abstractNumId w:val="23"/>
  </w:num>
  <w:num w:numId="12">
    <w:abstractNumId w:val="19"/>
  </w:num>
  <w:num w:numId="13">
    <w:abstractNumId w:val="1"/>
  </w:num>
  <w:num w:numId="14">
    <w:abstractNumId w:val="22"/>
  </w:num>
  <w:num w:numId="15">
    <w:abstractNumId w:val="13"/>
  </w:num>
  <w:num w:numId="16">
    <w:abstractNumId w:val="17"/>
  </w:num>
  <w:num w:numId="17">
    <w:abstractNumId w:val="2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 w:numId="22">
    <w:abstractNumId w:val="10"/>
  </w:num>
  <w:num w:numId="23">
    <w:abstractNumId w:val="8"/>
  </w:num>
  <w:num w:numId="24">
    <w:abstractNumId w:val="9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5B"/>
    <w:rsid w:val="0001608C"/>
    <w:rsid w:val="00066757"/>
    <w:rsid w:val="00092EDB"/>
    <w:rsid w:val="00093CA6"/>
    <w:rsid w:val="000C07CC"/>
    <w:rsid w:val="000C2840"/>
    <w:rsid w:val="000E0D2D"/>
    <w:rsid w:val="000E480D"/>
    <w:rsid w:val="000F2408"/>
    <w:rsid w:val="001052D7"/>
    <w:rsid w:val="00105C4F"/>
    <w:rsid w:val="00122243"/>
    <w:rsid w:val="00130917"/>
    <w:rsid w:val="00132B75"/>
    <w:rsid w:val="00133EF4"/>
    <w:rsid w:val="00143D3C"/>
    <w:rsid w:val="001466DA"/>
    <w:rsid w:val="001A2367"/>
    <w:rsid w:val="001B4085"/>
    <w:rsid w:val="001C0620"/>
    <w:rsid w:val="001C0B77"/>
    <w:rsid w:val="001E438F"/>
    <w:rsid w:val="001E6BA9"/>
    <w:rsid w:val="001E7463"/>
    <w:rsid w:val="001F6C4D"/>
    <w:rsid w:val="002275C5"/>
    <w:rsid w:val="00233070"/>
    <w:rsid w:val="00234522"/>
    <w:rsid w:val="0024677B"/>
    <w:rsid w:val="00252395"/>
    <w:rsid w:val="002B7FEB"/>
    <w:rsid w:val="002C51AE"/>
    <w:rsid w:val="002D750A"/>
    <w:rsid w:val="00312F06"/>
    <w:rsid w:val="00313D4A"/>
    <w:rsid w:val="00317344"/>
    <w:rsid w:val="00347F1D"/>
    <w:rsid w:val="00392FBB"/>
    <w:rsid w:val="00393FB7"/>
    <w:rsid w:val="003A4336"/>
    <w:rsid w:val="003B1473"/>
    <w:rsid w:val="003B56A4"/>
    <w:rsid w:val="003C2CD1"/>
    <w:rsid w:val="003D473D"/>
    <w:rsid w:val="003D63AE"/>
    <w:rsid w:val="003E34FC"/>
    <w:rsid w:val="004057B6"/>
    <w:rsid w:val="0042609D"/>
    <w:rsid w:val="00440B10"/>
    <w:rsid w:val="00452495"/>
    <w:rsid w:val="004B0F75"/>
    <w:rsid w:val="004C0711"/>
    <w:rsid w:val="004C634D"/>
    <w:rsid w:val="005018D3"/>
    <w:rsid w:val="0051574F"/>
    <w:rsid w:val="00525044"/>
    <w:rsid w:val="0058034B"/>
    <w:rsid w:val="00582159"/>
    <w:rsid w:val="005B1C2B"/>
    <w:rsid w:val="005E3D63"/>
    <w:rsid w:val="005E628D"/>
    <w:rsid w:val="005F73AE"/>
    <w:rsid w:val="00603278"/>
    <w:rsid w:val="006273D7"/>
    <w:rsid w:val="00641E41"/>
    <w:rsid w:val="00683ACC"/>
    <w:rsid w:val="00696FDC"/>
    <w:rsid w:val="006B5A99"/>
    <w:rsid w:val="006D5591"/>
    <w:rsid w:val="006D58BC"/>
    <w:rsid w:val="006E6BBF"/>
    <w:rsid w:val="0071045B"/>
    <w:rsid w:val="00711A72"/>
    <w:rsid w:val="00724BA1"/>
    <w:rsid w:val="007257A7"/>
    <w:rsid w:val="00733D76"/>
    <w:rsid w:val="0076423D"/>
    <w:rsid w:val="00767C41"/>
    <w:rsid w:val="00771208"/>
    <w:rsid w:val="00773120"/>
    <w:rsid w:val="007932E3"/>
    <w:rsid w:val="007E1D47"/>
    <w:rsid w:val="007E3911"/>
    <w:rsid w:val="007E40DA"/>
    <w:rsid w:val="007F1BDC"/>
    <w:rsid w:val="00803730"/>
    <w:rsid w:val="0080683C"/>
    <w:rsid w:val="00815E9F"/>
    <w:rsid w:val="00827EC6"/>
    <w:rsid w:val="008404CD"/>
    <w:rsid w:val="0085397C"/>
    <w:rsid w:val="008D543F"/>
    <w:rsid w:val="008D5544"/>
    <w:rsid w:val="008F411B"/>
    <w:rsid w:val="00902459"/>
    <w:rsid w:val="0090387F"/>
    <w:rsid w:val="00917319"/>
    <w:rsid w:val="0095796C"/>
    <w:rsid w:val="009732F8"/>
    <w:rsid w:val="00974E0F"/>
    <w:rsid w:val="009857B9"/>
    <w:rsid w:val="00986411"/>
    <w:rsid w:val="00986459"/>
    <w:rsid w:val="00990781"/>
    <w:rsid w:val="009A6508"/>
    <w:rsid w:val="009B5967"/>
    <w:rsid w:val="009C5B35"/>
    <w:rsid w:val="009D395C"/>
    <w:rsid w:val="009F1A63"/>
    <w:rsid w:val="009F1C50"/>
    <w:rsid w:val="00A014F7"/>
    <w:rsid w:val="00A0348C"/>
    <w:rsid w:val="00A03C6A"/>
    <w:rsid w:val="00A04CD1"/>
    <w:rsid w:val="00A164DB"/>
    <w:rsid w:val="00A37991"/>
    <w:rsid w:val="00A37B86"/>
    <w:rsid w:val="00A6306D"/>
    <w:rsid w:val="00A846F5"/>
    <w:rsid w:val="00A93DE3"/>
    <w:rsid w:val="00AB142A"/>
    <w:rsid w:val="00AC1689"/>
    <w:rsid w:val="00B04165"/>
    <w:rsid w:val="00B05E0F"/>
    <w:rsid w:val="00B14797"/>
    <w:rsid w:val="00B16449"/>
    <w:rsid w:val="00B16C40"/>
    <w:rsid w:val="00B3445D"/>
    <w:rsid w:val="00B47C86"/>
    <w:rsid w:val="00B6374D"/>
    <w:rsid w:val="00B85E79"/>
    <w:rsid w:val="00BB1E5A"/>
    <w:rsid w:val="00BB4098"/>
    <w:rsid w:val="00BB514A"/>
    <w:rsid w:val="00BC2A76"/>
    <w:rsid w:val="00BC4603"/>
    <w:rsid w:val="00BD5B2D"/>
    <w:rsid w:val="00BE75A0"/>
    <w:rsid w:val="00BF1794"/>
    <w:rsid w:val="00C119FC"/>
    <w:rsid w:val="00C37EEB"/>
    <w:rsid w:val="00C4492B"/>
    <w:rsid w:val="00C60FEF"/>
    <w:rsid w:val="00C86CDA"/>
    <w:rsid w:val="00C90236"/>
    <w:rsid w:val="00C94B3A"/>
    <w:rsid w:val="00C95DB2"/>
    <w:rsid w:val="00CB5C78"/>
    <w:rsid w:val="00CB7701"/>
    <w:rsid w:val="00CC725F"/>
    <w:rsid w:val="00CD756D"/>
    <w:rsid w:val="00CE54DE"/>
    <w:rsid w:val="00CE5EE0"/>
    <w:rsid w:val="00D01E10"/>
    <w:rsid w:val="00D12A7C"/>
    <w:rsid w:val="00D574F1"/>
    <w:rsid w:val="00D70031"/>
    <w:rsid w:val="00D72250"/>
    <w:rsid w:val="00D73E60"/>
    <w:rsid w:val="00D80994"/>
    <w:rsid w:val="00DB4AAA"/>
    <w:rsid w:val="00DC248A"/>
    <w:rsid w:val="00DC79FA"/>
    <w:rsid w:val="00E024FF"/>
    <w:rsid w:val="00E03D8C"/>
    <w:rsid w:val="00E559F0"/>
    <w:rsid w:val="00E611C0"/>
    <w:rsid w:val="00E8776F"/>
    <w:rsid w:val="00EA7E1D"/>
    <w:rsid w:val="00EB43DA"/>
    <w:rsid w:val="00ED3F65"/>
    <w:rsid w:val="00ED6F21"/>
    <w:rsid w:val="00EE18F3"/>
    <w:rsid w:val="00EE3144"/>
    <w:rsid w:val="00F126AF"/>
    <w:rsid w:val="00F35057"/>
    <w:rsid w:val="00F35809"/>
    <w:rsid w:val="00F5535D"/>
    <w:rsid w:val="00F66D0D"/>
    <w:rsid w:val="00F9240A"/>
    <w:rsid w:val="00FA508A"/>
    <w:rsid w:val="00FE0382"/>
    <w:rsid w:val="00FE51CF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716F"/>
  <w15:chartTrackingRefBased/>
  <w15:docId w15:val="{57E4219E-C874-4DD1-BFBF-5F67470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04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1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04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D3F6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D3F65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5E628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0E4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480D"/>
  </w:style>
  <w:style w:type="paragraph" w:styleId="Porat">
    <w:name w:val="footer"/>
    <w:basedOn w:val="prastasis"/>
    <w:link w:val="PoratDiagrama"/>
    <w:uiPriority w:val="99"/>
    <w:unhideWhenUsed/>
    <w:rsid w:val="000E4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AE1F2-B77D-480C-A371-83AFD9C5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6098</Words>
  <Characters>3476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Grupe7</dc:creator>
  <cp:keywords/>
  <dc:description/>
  <cp:lastModifiedBy>dell</cp:lastModifiedBy>
  <cp:revision>52</cp:revision>
  <cp:lastPrinted>2026-03-27T12:26:00Z</cp:lastPrinted>
  <dcterms:created xsi:type="dcterms:W3CDTF">2026-03-27T07:34:00Z</dcterms:created>
  <dcterms:modified xsi:type="dcterms:W3CDTF">2026-04-02T09:58:00Z</dcterms:modified>
</cp:coreProperties>
</file>