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
        <w:gridCol w:w="9500"/>
        <w:gridCol w:w="3961"/>
      </w:tblGrid>
      <w:tr w:rsidR="000B14DF">
        <w:trPr>
          <w:trHeight w:val="180"/>
        </w:trPr>
        <w:tc>
          <w:tcPr>
            <w:tcW w:w="9" w:type="dxa"/>
          </w:tcPr>
          <w:p w:rsidR="000B14DF" w:rsidRDefault="000B14DF">
            <w:pPr>
              <w:pStyle w:val="EmptyCellLayoutStyle"/>
              <w:spacing w:after="0" w:line="240" w:lineRule="auto"/>
            </w:pPr>
          </w:p>
        </w:tc>
        <w:tc>
          <w:tcPr>
            <w:tcW w:w="9500" w:type="dxa"/>
          </w:tcPr>
          <w:p w:rsidR="000B14DF" w:rsidRDefault="000B14DF">
            <w:pPr>
              <w:pStyle w:val="EmptyCellLayoutStyle"/>
              <w:spacing w:after="0" w:line="240" w:lineRule="auto"/>
            </w:pPr>
          </w:p>
        </w:tc>
        <w:tc>
          <w:tcPr>
            <w:tcW w:w="3961" w:type="dxa"/>
          </w:tcPr>
          <w:p w:rsidR="000B14DF" w:rsidRDefault="000B14DF">
            <w:pPr>
              <w:pStyle w:val="EmptyCellLayoutStyle"/>
              <w:spacing w:after="0" w:line="240" w:lineRule="auto"/>
            </w:pPr>
          </w:p>
        </w:tc>
      </w:tr>
      <w:tr w:rsidR="000B14DF">
        <w:trPr>
          <w:trHeight w:val="1036"/>
        </w:trPr>
        <w:tc>
          <w:tcPr>
            <w:tcW w:w="9" w:type="dxa"/>
          </w:tcPr>
          <w:p w:rsidR="000B14DF" w:rsidRDefault="000B14DF">
            <w:pPr>
              <w:pStyle w:val="EmptyCellLayoutStyle"/>
              <w:spacing w:after="0" w:line="240" w:lineRule="auto"/>
            </w:pPr>
          </w:p>
        </w:tc>
        <w:tc>
          <w:tcPr>
            <w:tcW w:w="9500" w:type="dxa"/>
          </w:tcPr>
          <w:p w:rsidR="000B14DF" w:rsidRDefault="000B14DF">
            <w:pPr>
              <w:pStyle w:val="EmptyCellLayoutStyle"/>
              <w:spacing w:after="0" w:line="240" w:lineRule="auto"/>
            </w:pPr>
          </w:p>
        </w:tc>
        <w:tc>
          <w:tcPr>
            <w:tcW w:w="3961" w:type="dxa"/>
          </w:tcPr>
          <w:tbl>
            <w:tblPr>
              <w:tblW w:w="0" w:type="auto"/>
              <w:tblCellMar>
                <w:left w:w="0" w:type="dxa"/>
                <w:right w:w="0" w:type="dxa"/>
              </w:tblCellMar>
              <w:tblLook w:val="0000" w:firstRow="0" w:lastRow="0" w:firstColumn="0" w:lastColumn="0" w:noHBand="0" w:noVBand="0"/>
            </w:tblPr>
            <w:tblGrid>
              <w:gridCol w:w="3961"/>
            </w:tblGrid>
            <w:tr w:rsidR="000B14DF">
              <w:trPr>
                <w:trHeight w:val="958"/>
              </w:trPr>
              <w:tc>
                <w:tcPr>
                  <w:tcW w:w="3961" w:type="dxa"/>
                  <w:tcBorders>
                    <w:top w:val="nil"/>
                    <w:left w:val="nil"/>
                    <w:bottom w:val="nil"/>
                    <w:right w:val="nil"/>
                  </w:tcBorders>
                  <w:tcMar>
                    <w:top w:w="39" w:type="dxa"/>
                    <w:left w:w="39" w:type="dxa"/>
                    <w:bottom w:w="39" w:type="dxa"/>
                    <w:right w:w="39" w:type="dxa"/>
                  </w:tcMar>
                </w:tcPr>
                <w:p w:rsidR="000B14DF" w:rsidRDefault="006A2336">
                  <w:pPr>
                    <w:spacing w:after="0" w:line="240" w:lineRule="auto"/>
                    <w:rPr>
                      <w:color w:val="000000"/>
                    </w:rPr>
                  </w:pPr>
                  <w:r>
                    <w:rPr>
                      <w:color w:val="000000"/>
                    </w:rPr>
                    <w:t>Forma patvirtinta</w:t>
                  </w:r>
                  <w:r>
                    <w:rPr>
                      <w:color w:val="000000"/>
                    </w:rPr>
                    <w:br/>
                    <w:t>Kauno miesto savivaldybės mero</w:t>
                  </w:r>
                  <w:r>
                    <w:rPr>
                      <w:color w:val="000000"/>
                    </w:rPr>
                    <w:br/>
                    <w:t>2024 m. lapkričio 15 d.</w:t>
                  </w:r>
                  <w:r>
                    <w:rPr>
                      <w:color w:val="000000"/>
                    </w:rPr>
                    <w:br/>
                    <w:t>potvarkiu Nr. M-1341</w:t>
                  </w:r>
                </w:p>
                <w:p w:rsidR="006A2336" w:rsidRDefault="006A2336">
                  <w:pPr>
                    <w:spacing w:after="0" w:line="240" w:lineRule="auto"/>
                    <w:rPr>
                      <w:color w:val="000000"/>
                    </w:rPr>
                  </w:pPr>
                </w:p>
                <w:p w:rsidR="006A2336" w:rsidRDefault="00E3410A">
                  <w:pPr>
                    <w:spacing w:after="0" w:line="240" w:lineRule="auto"/>
                  </w:pPr>
                  <w:r>
                    <w:t>Patvirtinta</w:t>
                  </w:r>
                </w:p>
                <w:p w:rsidR="00E3410A" w:rsidRDefault="00E3410A">
                  <w:pPr>
                    <w:spacing w:after="0" w:line="240" w:lineRule="auto"/>
                  </w:pPr>
                  <w:r>
                    <w:t>Kauno lopšelio-darželio „Tukas“</w:t>
                  </w:r>
                </w:p>
                <w:p w:rsidR="00E3410A" w:rsidRDefault="00E3410A">
                  <w:pPr>
                    <w:spacing w:after="0" w:line="240" w:lineRule="auto"/>
                  </w:pPr>
                  <w:r>
                    <w:t xml:space="preserve">Direktoriaus 2025 m. vasario  </w:t>
                  </w:r>
                  <w:r w:rsidR="0006076C">
                    <w:t>4</w:t>
                  </w:r>
                  <w:r>
                    <w:t xml:space="preserve"> d. </w:t>
                  </w:r>
                </w:p>
                <w:p w:rsidR="00E3410A" w:rsidRDefault="00E3410A">
                  <w:pPr>
                    <w:spacing w:after="0" w:line="240" w:lineRule="auto"/>
                  </w:pPr>
                  <w:r>
                    <w:t>įsakymu Nr. V-</w:t>
                  </w:r>
                  <w:r w:rsidR="0006076C">
                    <w:t xml:space="preserve"> 57</w:t>
                  </w:r>
                </w:p>
              </w:tc>
            </w:tr>
          </w:tbl>
          <w:p w:rsidR="000B14DF" w:rsidRDefault="000B14DF">
            <w:pPr>
              <w:spacing w:after="0" w:line="240" w:lineRule="auto"/>
            </w:pPr>
          </w:p>
        </w:tc>
      </w:tr>
      <w:tr w:rsidR="000B14DF">
        <w:trPr>
          <w:trHeight w:val="223"/>
        </w:trPr>
        <w:tc>
          <w:tcPr>
            <w:tcW w:w="9" w:type="dxa"/>
          </w:tcPr>
          <w:p w:rsidR="000B14DF" w:rsidRDefault="000B14DF">
            <w:pPr>
              <w:pStyle w:val="EmptyCellLayoutStyle"/>
              <w:spacing w:after="0" w:line="240" w:lineRule="auto"/>
            </w:pPr>
          </w:p>
        </w:tc>
        <w:tc>
          <w:tcPr>
            <w:tcW w:w="9500" w:type="dxa"/>
          </w:tcPr>
          <w:p w:rsidR="000B14DF" w:rsidRDefault="000B14DF">
            <w:pPr>
              <w:pStyle w:val="EmptyCellLayoutStyle"/>
              <w:spacing w:after="0" w:line="240" w:lineRule="auto"/>
            </w:pPr>
          </w:p>
        </w:tc>
        <w:tc>
          <w:tcPr>
            <w:tcW w:w="3961" w:type="dxa"/>
          </w:tcPr>
          <w:p w:rsidR="000B14DF" w:rsidRDefault="000B14DF">
            <w:pPr>
              <w:pStyle w:val="EmptyCellLayoutStyle"/>
              <w:spacing w:after="0" w:line="240" w:lineRule="auto"/>
            </w:pPr>
          </w:p>
        </w:tc>
      </w:tr>
      <w:tr w:rsidR="00794F21" w:rsidTr="00794F21">
        <w:trPr>
          <w:trHeight w:val="340"/>
        </w:trPr>
        <w:tc>
          <w:tcPr>
            <w:tcW w:w="9" w:type="dxa"/>
          </w:tcPr>
          <w:p w:rsidR="000B14DF" w:rsidRDefault="000B14DF">
            <w:pPr>
              <w:pStyle w:val="EmptyCellLayoutStyle"/>
              <w:spacing w:after="0" w:line="240" w:lineRule="auto"/>
            </w:pPr>
          </w:p>
        </w:tc>
        <w:tc>
          <w:tcPr>
            <w:tcW w:w="9500" w:type="dxa"/>
            <w:gridSpan w:val="2"/>
          </w:tcPr>
          <w:tbl>
            <w:tblPr>
              <w:tblW w:w="0" w:type="auto"/>
              <w:tblCellMar>
                <w:left w:w="0" w:type="dxa"/>
                <w:right w:w="0" w:type="dxa"/>
              </w:tblCellMar>
              <w:tblLook w:val="0000" w:firstRow="0" w:lastRow="0" w:firstColumn="0" w:lastColumn="0" w:noHBand="0" w:noVBand="0"/>
            </w:tblPr>
            <w:tblGrid>
              <w:gridCol w:w="13461"/>
            </w:tblGrid>
            <w:tr w:rsidR="000B14DF">
              <w:trPr>
                <w:trHeight w:val="262"/>
              </w:trPr>
              <w:tc>
                <w:tcPr>
                  <w:tcW w:w="13462" w:type="dxa"/>
                  <w:tcBorders>
                    <w:top w:val="nil"/>
                    <w:left w:val="nil"/>
                    <w:bottom w:val="nil"/>
                    <w:right w:val="nil"/>
                  </w:tcBorders>
                  <w:tcMar>
                    <w:top w:w="39" w:type="dxa"/>
                    <w:left w:w="39" w:type="dxa"/>
                    <w:bottom w:w="39" w:type="dxa"/>
                    <w:right w:w="39" w:type="dxa"/>
                  </w:tcMar>
                </w:tcPr>
                <w:p w:rsidR="000B14DF" w:rsidRDefault="006A2336">
                  <w:pPr>
                    <w:spacing w:after="0" w:line="240" w:lineRule="auto"/>
                    <w:jc w:val="center"/>
                  </w:pPr>
                  <w:r>
                    <w:rPr>
                      <w:b/>
                      <w:color w:val="000000"/>
                      <w:sz w:val="24"/>
                    </w:rPr>
                    <w:t>KAUNO MIESTO SAVIVA</w:t>
                  </w:r>
                  <w:r w:rsidR="00794F21">
                    <w:rPr>
                      <w:b/>
                      <w:color w:val="000000"/>
                      <w:sz w:val="24"/>
                    </w:rPr>
                    <w:t xml:space="preserve">LDYBĖS ADMINISTRACIJOS ŠVIETIMO </w:t>
                  </w:r>
                  <w:r>
                    <w:rPr>
                      <w:b/>
                      <w:color w:val="000000"/>
                      <w:sz w:val="24"/>
                    </w:rPr>
                    <w:t>SKYRIUI PRISKIRTOS ĮSTAIGOS KAUNO LOPŠELIS-DARŽELIS TUKAS</w:t>
                  </w:r>
                </w:p>
              </w:tc>
            </w:tr>
          </w:tbl>
          <w:p w:rsidR="000B14DF" w:rsidRDefault="000B14DF">
            <w:pPr>
              <w:spacing w:after="0" w:line="240" w:lineRule="auto"/>
            </w:pPr>
          </w:p>
        </w:tc>
      </w:tr>
      <w:tr w:rsidR="000B14DF">
        <w:trPr>
          <w:trHeight w:val="79"/>
        </w:trPr>
        <w:tc>
          <w:tcPr>
            <w:tcW w:w="9" w:type="dxa"/>
          </w:tcPr>
          <w:p w:rsidR="000B14DF" w:rsidRDefault="000B14DF">
            <w:pPr>
              <w:pStyle w:val="EmptyCellLayoutStyle"/>
              <w:spacing w:after="0" w:line="240" w:lineRule="auto"/>
            </w:pPr>
          </w:p>
        </w:tc>
        <w:tc>
          <w:tcPr>
            <w:tcW w:w="9500" w:type="dxa"/>
          </w:tcPr>
          <w:p w:rsidR="000B14DF" w:rsidRDefault="000B14DF">
            <w:pPr>
              <w:pStyle w:val="EmptyCellLayoutStyle"/>
              <w:spacing w:after="0" w:line="240" w:lineRule="auto"/>
            </w:pPr>
          </w:p>
        </w:tc>
        <w:tc>
          <w:tcPr>
            <w:tcW w:w="3961" w:type="dxa"/>
          </w:tcPr>
          <w:p w:rsidR="000B14DF" w:rsidRDefault="000B14DF">
            <w:pPr>
              <w:pStyle w:val="EmptyCellLayoutStyle"/>
              <w:spacing w:after="0" w:line="240" w:lineRule="auto"/>
            </w:pPr>
          </w:p>
        </w:tc>
      </w:tr>
      <w:tr w:rsidR="00794F21" w:rsidTr="00794F21">
        <w:trPr>
          <w:trHeight w:val="340"/>
        </w:trPr>
        <w:tc>
          <w:tcPr>
            <w:tcW w:w="9" w:type="dxa"/>
          </w:tcPr>
          <w:p w:rsidR="000B14DF" w:rsidRDefault="000B14DF">
            <w:pPr>
              <w:pStyle w:val="EmptyCellLayoutStyle"/>
              <w:spacing w:after="0" w:line="240" w:lineRule="auto"/>
            </w:pPr>
          </w:p>
        </w:tc>
        <w:tc>
          <w:tcPr>
            <w:tcW w:w="9500" w:type="dxa"/>
            <w:gridSpan w:val="2"/>
          </w:tcPr>
          <w:tbl>
            <w:tblPr>
              <w:tblW w:w="0" w:type="auto"/>
              <w:tblCellMar>
                <w:left w:w="0" w:type="dxa"/>
                <w:right w:w="0" w:type="dxa"/>
              </w:tblCellMar>
              <w:tblLook w:val="0000" w:firstRow="0" w:lastRow="0" w:firstColumn="0" w:lastColumn="0" w:noHBand="0" w:noVBand="0"/>
            </w:tblPr>
            <w:tblGrid>
              <w:gridCol w:w="13461"/>
            </w:tblGrid>
            <w:tr w:rsidR="000B14DF">
              <w:trPr>
                <w:trHeight w:val="262"/>
              </w:trPr>
              <w:tc>
                <w:tcPr>
                  <w:tcW w:w="13462" w:type="dxa"/>
                  <w:tcBorders>
                    <w:top w:val="nil"/>
                    <w:left w:val="nil"/>
                    <w:bottom w:val="nil"/>
                    <w:right w:val="nil"/>
                  </w:tcBorders>
                  <w:tcMar>
                    <w:top w:w="39" w:type="dxa"/>
                    <w:left w:w="39" w:type="dxa"/>
                    <w:bottom w:w="39" w:type="dxa"/>
                    <w:right w:w="39" w:type="dxa"/>
                  </w:tcMar>
                </w:tcPr>
                <w:p w:rsidR="000B14DF" w:rsidRDefault="006A2336">
                  <w:pPr>
                    <w:spacing w:after="0" w:line="240" w:lineRule="auto"/>
                    <w:jc w:val="center"/>
                  </w:pPr>
                  <w:r>
                    <w:rPr>
                      <w:b/>
                      <w:color w:val="000000"/>
                      <w:sz w:val="24"/>
                    </w:rPr>
                    <w:t>2024 METŲ VEIKLOS PLANO VYKDYMO ATASKAITA</w:t>
                  </w:r>
                </w:p>
              </w:tc>
            </w:tr>
          </w:tbl>
          <w:p w:rsidR="000B14DF" w:rsidRDefault="000B14DF">
            <w:pPr>
              <w:spacing w:after="0" w:line="240" w:lineRule="auto"/>
            </w:pPr>
          </w:p>
        </w:tc>
      </w:tr>
      <w:tr w:rsidR="000B14DF">
        <w:trPr>
          <w:trHeight w:val="120"/>
        </w:trPr>
        <w:tc>
          <w:tcPr>
            <w:tcW w:w="9" w:type="dxa"/>
          </w:tcPr>
          <w:p w:rsidR="000B14DF" w:rsidRDefault="000B14DF">
            <w:pPr>
              <w:pStyle w:val="EmptyCellLayoutStyle"/>
              <w:spacing w:after="0" w:line="240" w:lineRule="auto"/>
            </w:pPr>
          </w:p>
        </w:tc>
        <w:tc>
          <w:tcPr>
            <w:tcW w:w="9500" w:type="dxa"/>
          </w:tcPr>
          <w:p w:rsidR="000B14DF" w:rsidRDefault="000B14DF">
            <w:pPr>
              <w:pStyle w:val="EmptyCellLayoutStyle"/>
              <w:spacing w:after="0" w:line="240" w:lineRule="auto"/>
            </w:pPr>
          </w:p>
        </w:tc>
        <w:tc>
          <w:tcPr>
            <w:tcW w:w="3961" w:type="dxa"/>
          </w:tcPr>
          <w:p w:rsidR="000B14DF" w:rsidRDefault="000B14DF">
            <w:pPr>
              <w:pStyle w:val="EmptyCellLayoutStyle"/>
              <w:spacing w:after="0" w:line="240" w:lineRule="auto"/>
            </w:pPr>
          </w:p>
        </w:tc>
      </w:tr>
      <w:tr w:rsidR="00794F21" w:rsidTr="00794F21">
        <w:tc>
          <w:tcPr>
            <w:tcW w:w="9"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3"/>
              <w:gridCol w:w="4525"/>
              <w:gridCol w:w="3311"/>
              <w:gridCol w:w="967"/>
              <w:gridCol w:w="985"/>
              <w:gridCol w:w="1045"/>
              <w:gridCol w:w="2575"/>
            </w:tblGrid>
            <w:tr w:rsidR="000B14DF">
              <w:trPr>
                <w:trHeight w:val="262"/>
              </w:trPr>
              <w:tc>
                <w:tcPr>
                  <w:tcW w:w="54" w:type="dxa"/>
                </w:tcPr>
                <w:p w:rsidR="000B14DF" w:rsidRDefault="000B14DF">
                  <w:pPr>
                    <w:spacing w:after="0" w:line="240" w:lineRule="auto"/>
                  </w:pPr>
                </w:p>
              </w:tc>
              <w:tc>
                <w:tcPr>
                  <w:tcW w:w="452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Metų prioritetinė veikla, įvykdymo informacija</w:t>
                  </w:r>
                </w:p>
              </w:tc>
              <w:tc>
                <w:tcPr>
                  <w:tcW w:w="331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 xml:space="preserve">Planinis pokytis </w:t>
                  </w:r>
                  <w:r>
                    <w:rPr>
                      <w:color w:val="000000"/>
                    </w:rPr>
                    <w:br/>
                    <w:t xml:space="preserve">(vertinimo kriterijus, </w:t>
                  </w:r>
                  <w:r>
                    <w:rPr>
                      <w:color w:val="000000"/>
                    </w:rPr>
                    <w:br/>
                    <w:t>matavimo vienetas)</w:t>
                  </w:r>
                </w:p>
              </w:tc>
              <w:tc>
                <w:tcPr>
                  <w:tcW w:w="96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Planinė reikšmė</w:t>
                  </w:r>
                </w:p>
              </w:tc>
              <w:tc>
                <w:tcPr>
                  <w:tcW w:w="98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Faktinė reikšmė</w:t>
                  </w:r>
                </w:p>
              </w:tc>
              <w:tc>
                <w:tcPr>
                  <w:tcW w:w="104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Įvykdymo procentas</w:t>
                  </w:r>
                </w:p>
              </w:tc>
              <w:tc>
                <w:tcPr>
                  <w:tcW w:w="257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Komentaras</w:t>
                  </w:r>
                </w:p>
              </w:tc>
            </w:tr>
            <w:tr w:rsidR="000B14DF">
              <w:trPr>
                <w:trHeight w:val="262"/>
              </w:trPr>
              <w:tc>
                <w:tcPr>
                  <w:tcW w:w="54" w:type="dxa"/>
                </w:tcPr>
                <w:p w:rsidR="000B14DF" w:rsidRDefault="000B14DF">
                  <w:pPr>
                    <w:spacing w:after="0" w:line="240" w:lineRule="auto"/>
                  </w:pPr>
                </w:p>
              </w:tc>
              <w:tc>
                <w:tcPr>
                  <w:tcW w:w="4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1. Įtraukiojo ugdymo užtikrinimas įvairių poreikių vaikams.</w:t>
                  </w:r>
                  <w:r>
                    <w:rPr>
                      <w:color w:val="000000"/>
                    </w:rPr>
                    <w:br/>
                    <w:t xml:space="preserve"> 2. Atnaujinto ugdymo turinio įgyvendinimas.</w:t>
                  </w:r>
                </w:p>
              </w:tc>
              <w:tc>
                <w:tcPr>
                  <w:tcW w:w="33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Pedagogų ir švietimo pagalbos specialistų, dalyvavusių tiksliniuose mokymuose, skirtuose </w:t>
                  </w:r>
                  <w:proofErr w:type="spellStart"/>
                  <w:r>
                    <w:rPr>
                      <w:color w:val="000000"/>
                    </w:rPr>
                    <w:t>įtraukčiai</w:t>
                  </w:r>
                  <w:proofErr w:type="spellEnd"/>
                  <w:r>
                    <w:rPr>
                      <w:color w:val="000000"/>
                    </w:rPr>
                    <w:t xml:space="preserve"> švietime, skaičius, </w:t>
                  </w:r>
                  <w:proofErr w:type="spellStart"/>
                  <w:r>
                    <w:rPr>
                      <w:color w:val="000000"/>
                    </w:rPr>
                    <w:t>Asm</w:t>
                  </w:r>
                  <w:proofErr w:type="spellEnd"/>
                  <w:r>
                    <w:rPr>
                      <w:color w:val="000000"/>
                    </w:rPr>
                    <w: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6.00</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5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Vertinimo kriterijus skirtas įvertinti, kiek pedagogų ir švietimo pagalbos specialistų yra pasirengę teikti visokeriopą pagalbą, vaikams, mokiniams, organizuojant ir įgyvendinant </w:t>
                  </w:r>
                  <w:proofErr w:type="spellStart"/>
                  <w:r>
                    <w:rPr>
                      <w:color w:val="000000"/>
                    </w:rPr>
                    <w:t>įtrauk</w:t>
                  </w:r>
                  <w:bookmarkStart w:id="0" w:name="_GoBack"/>
                  <w:bookmarkEnd w:id="0"/>
                  <w:r>
                    <w:rPr>
                      <w:color w:val="000000"/>
                    </w:rPr>
                    <w:t>ųjį</w:t>
                  </w:r>
                  <w:proofErr w:type="spellEnd"/>
                  <w:r>
                    <w:rPr>
                      <w:color w:val="000000"/>
                    </w:rPr>
                    <w:t xml:space="preserve"> ugdymą. Vertinimo kriterijus apskaičiuojamas: pedagogų ir švietimo pagalbos specialistų, dalyvavusių tiksliniuose mokymuose, skirtuose, </w:t>
                  </w:r>
                  <w:proofErr w:type="spellStart"/>
                  <w:r>
                    <w:rPr>
                      <w:color w:val="000000"/>
                    </w:rPr>
                    <w:t>įtraukčiai</w:t>
                  </w:r>
                  <w:proofErr w:type="spellEnd"/>
                  <w:r>
                    <w:rPr>
                      <w:color w:val="000000"/>
                    </w:rPr>
                    <w:t xml:space="preserve"> švietime, suma</w:t>
                  </w:r>
                </w:p>
              </w:tc>
            </w:tr>
            <w:tr w:rsidR="000B14DF">
              <w:trPr>
                <w:trHeight w:val="262"/>
              </w:trPr>
              <w:tc>
                <w:tcPr>
                  <w:tcW w:w="54" w:type="dxa"/>
                </w:tcPr>
                <w:p w:rsidR="000B14DF" w:rsidRDefault="000B14DF">
                  <w:pPr>
                    <w:spacing w:after="0" w:line="240" w:lineRule="auto"/>
                  </w:pPr>
                </w:p>
              </w:tc>
              <w:tc>
                <w:tcPr>
                  <w:tcW w:w="45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33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Organizuotų ir įgyvendintų gerosios patirties sklaidos renginių (susitikimų), skirtų atnaujintam ugdymo turiniui įgyvendinti, skaičius, Vnt.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6.00</w:t>
                  </w:r>
                </w:p>
              </w:tc>
              <w:tc>
                <w:tcPr>
                  <w:tcW w:w="10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200.00</w:t>
                  </w:r>
                </w:p>
              </w:tc>
              <w:tc>
                <w:tcPr>
                  <w:tcW w:w="25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Vertinimo kriterijus skirtas įvertinti, kiek organizuota ir įvykę gerosios patirties sklaidos renginių (susitikimų), skirtų atnaujintam ugdymo turiniui įgyvendinti. Vertinimo kriterijus apskaičiuojamas: gerosios patirties sklaidos </w:t>
                  </w:r>
                  <w:r>
                    <w:rPr>
                      <w:color w:val="000000"/>
                    </w:rPr>
                    <w:lastRenderedPageBreak/>
                    <w:t>renginių, susitikimų), skirtų atnaujintam ugdymo turiniui įgyvendinti, suma</w:t>
                  </w:r>
                </w:p>
              </w:tc>
            </w:tr>
          </w:tbl>
          <w:p w:rsidR="000B14DF" w:rsidRDefault="000B14DF">
            <w:pPr>
              <w:spacing w:after="0" w:line="240" w:lineRule="auto"/>
            </w:pPr>
          </w:p>
        </w:tc>
      </w:tr>
      <w:tr w:rsidR="000B14DF">
        <w:trPr>
          <w:trHeight w:val="100"/>
        </w:trPr>
        <w:tc>
          <w:tcPr>
            <w:tcW w:w="9" w:type="dxa"/>
          </w:tcPr>
          <w:p w:rsidR="000B14DF" w:rsidRDefault="000B14DF">
            <w:pPr>
              <w:pStyle w:val="EmptyCellLayoutStyle"/>
              <w:spacing w:after="0" w:line="240" w:lineRule="auto"/>
            </w:pPr>
          </w:p>
        </w:tc>
        <w:tc>
          <w:tcPr>
            <w:tcW w:w="9500" w:type="dxa"/>
          </w:tcPr>
          <w:p w:rsidR="000B14DF" w:rsidRDefault="000B14DF">
            <w:pPr>
              <w:pStyle w:val="EmptyCellLayoutStyle"/>
              <w:spacing w:after="0" w:line="240" w:lineRule="auto"/>
            </w:pPr>
          </w:p>
        </w:tc>
        <w:tc>
          <w:tcPr>
            <w:tcW w:w="3961" w:type="dxa"/>
          </w:tcPr>
          <w:p w:rsidR="000B14DF" w:rsidRDefault="000B14DF">
            <w:pPr>
              <w:pStyle w:val="EmptyCellLayoutStyle"/>
              <w:spacing w:after="0" w:line="240" w:lineRule="auto"/>
            </w:pPr>
          </w:p>
        </w:tc>
      </w:tr>
      <w:tr w:rsidR="00794F21" w:rsidTr="00794F21">
        <w:tc>
          <w:tcPr>
            <w:tcW w:w="9"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9"/>
              <w:gridCol w:w="2943"/>
              <w:gridCol w:w="2651"/>
              <w:gridCol w:w="778"/>
              <w:gridCol w:w="778"/>
              <w:gridCol w:w="975"/>
              <w:gridCol w:w="2075"/>
              <w:gridCol w:w="1128"/>
              <w:gridCol w:w="2084"/>
            </w:tblGrid>
            <w:tr w:rsidR="000B14DF">
              <w:trPr>
                <w:trHeight w:val="262"/>
              </w:trPr>
              <w:tc>
                <w:tcPr>
                  <w:tcW w:w="54" w:type="dxa"/>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 xml:space="preserve">Veiklos sritis, tema, metinis veiksmas / darbas, </w:t>
                  </w:r>
                  <w:r>
                    <w:rPr>
                      <w:color w:val="000000"/>
                    </w:rPr>
                    <w:br/>
                    <w:t>įvykdymo informacija</w:t>
                  </w:r>
                </w:p>
              </w:tc>
              <w:tc>
                <w:tcPr>
                  <w:tcW w:w="278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Pagrindinis vertinimo kriterijus, matavimo vienetas</w:t>
                  </w:r>
                </w:p>
              </w:tc>
              <w:tc>
                <w:tcPr>
                  <w:tcW w:w="72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Planinė reikšmė</w:t>
                  </w:r>
                </w:p>
              </w:tc>
              <w:tc>
                <w:tcPr>
                  <w:tcW w:w="76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Faktinė reikšmė</w:t>
                  </w:r>
                </w:p>
              </w:tc>
              <w:tc>
                <w:tcPr>
                  <w:tcW w:w="98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Įvykdymo procentas</w:t>
                  </w:r>
                </w:p>
              </w:tc>
              <w:tc>
                <w:tcPr>
                  <w:tcW w:w="215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 xml:space="preserve">Sudėtinis vertinimo kriterijus, </w:t>
                  </w:r>
                  <w:r>
                    <w:rPr>
                      <w:color w:val="000000"/>
                    </w:rPr>
                    <w:br/>
                    <w:t>matavimo vienetas</w:t>
                  </w:r>
                </w:p>
              </w:tc>
              <w:tc>
                <w:tcPr>
                  <w:tcW w:w="70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Faktinė reikšmė</w:t>
                  </w:r>
                </w:p>
              </w:tc>
              <w:tc>
                <w:tcPr>
                  <w:tcW w:w="217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0B14DF" w:rsidRDefault="006A2336">
                  <w:pPr>
                    <w:spacing w:after="0" w:line="240" w:lineRule="auto"/>
                    <w:jc w:val="center"/>
                  </w:pPr>
                  <w:r>
                    <w:rPr>
                      <w:color w:val="000000"/>
                    </w:rPr>
                    <w:t>Komentaras</w:t>
                  </w:r>
                </w:p>
              </w:tc>
            </w:tr>
            <w:tr w:rsidR="00794F21" w:rsidTr="00794F21">
              <w:trPr>
                <w:trHeight w:val="262"/>
              </w:trPr>
              <w:tc>
                <w:tcPr>
                  <w:tcW w:w="54" w:type="dxa"/>
                  <w:vMerge w:val="restart"/>
                  <w:tcBorders>
                    <w:bottom w:val="nil"/>
                  </w:tcBorders>
                </w:tcPr>
                <w:p w:rsidR="000B14DF" w:rsidRDefault="000B14DF">
                  <w:pPr>
                    <w:spacing w:after="0" w:line="240" w:lineRule="auto"/>
                  </w:pPr>
                </w:p>
              </w:tc>
              <w:tc>
                <w:tcPr>
                  <w:tcW w:w="3115"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b/>
                      <w:color w:val="000000"/>
                    </w:rPr>
                    <w:t>ŽMOGIŠKIEJI IŠTEKLIAI</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Personalo valdymas</w:t>
                  </w:r>
                  <w:r>
                    <w:rPr>
                      <w:color w:val="000000"/>
                    </w:rPr>
                    <w:br/>
                    <w:t xml:space="preserve">1. Taikyti darbuotojų motyvacinę sistemą, siekiant jų veiklos didesnio </w:t>
                  </w:r>
                  <w:proofErr w:type="spellStart"/>
                  <w:r>
                    <w:rPr>
                      <w:color w:val="000000"/>
                    </w:rPr>
                    <w:t>rezultayvumo</w:t>
                  </w:r>
                  <w:proofErr w:type="spellEnd"/>
                  <w:r>
                    <w:rPr>
                      <w:color w:val="000000"/>
                    </w:rPr>
                    <w:t xml:space="preserve"> ir efektyvumo:                                                                                  1.1. Organizuoti individualius pokalbius su kiekvienu darbuotoju susitariant dėl svarbiausių darbų ir veiklos </w:t>
                  </w:r>
                  <w:proofErr w:type="spellStart"/>
                  <w:r>
                    <w:rPr>
                      <w:color w:val="000000"/>
                    </w:rPr>
                    <w:t>rezultaų</w:t>
                  </w:r>
                  <w:proofErr w:type="spellEnd"/>
                  <w:r>
                    <w:rPr>
                      <w:color w:val="000000"/>
                    </w:rPr>
                    <w:t xml:space="preserve">.                                       </w:t>
                  </w:r>
                  <w:r>
                    <w:rPr>
                      <w:color w:val="000000"/>
                    </w:rPr>
                    <w:br/>
                    <w:t xml:space="preserve">1.2.  Skatinti pasidalinimą gerąją darbo </w:t>
                  </w:r>
                  <w:proofErr w:type="spellStart"/>
                  <w:r>
                    <w:rPr>
                      <w:color w:val="000000"/>
                    </w:rPr>
                    <w:t>paritimi</w:t>
                  </w:r>
                  <w:proofErr w:type="spellEnd"/>
                  <w:r>
                    <w:rPr>
                      <w:color w:val="000000"/>
                    </w:rPr>
                    <w:t xml:space="preserve"> įstaigos viduje. </w:t>
                  </w:r>
                  <w:r>
                    <w:rPr>
                      <w:color w:val="000000"/>
                    </w:rPr>
                    <w:br/>
                    <w:t xml:space="preserve">1.3.Organizuoti tradicinius kasmetinius renginius darbuotojų komandinės veiklos efektyvumui didinti.                                                                                     1.4. Priskirti mokytojų </w:t>
                  </w:r>
                  <w:proofErr w:type="spellStart"/>
                  <w:r>
                    <w:rPr>
                      <w:color w:val="000000"/>
                    </w:rPr>
                    <w:t>mentroių</w:t>
                  </w:r>
                  <w:proofErr w:type="spellEnd"/>
                  <w:r>
                    <w:rPr>
                      <w:color w:val="000000"/>
                    </w:rPr>
                    <w:t xml:space="preserve"> naujam dirbančiam pedagogui.</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Užimtų pareigybių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94.00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94.00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Bendras patvirtintų pareigybių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48.07</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Neužimtų pareigybių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2.93</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Personalo valdymas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Pedagoginių pareigybių dalis nuo patvirtintų pareigybių ,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54.00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98.18</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Nepedagoginių pareigybių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22.25</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Pareigybės dalis, tenkanti vienam pedagoginiam darbuotojui,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104.00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Personalo valdymas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Paslaugas teikiančių pagalbos specialistų skaičius, </w:t>
                  </w:r>
                  <w:proofErr w:type="spellStart"/>
                  <w:r>
                    <w:rPr>
                      <w:color w:val="000000"/>
                    </w:rPr>
                    <w:t>Asm</w:t>
                  </w:r>
                  <w:proofErr w:type="spellEnd"/>
                  <w:r>
                    <w:rPr>
                      <w:color w:val="000000"/>
                    </w:rPr>
                    <w:t>.</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Mokytojo padėjėjų švietimo įstaigoje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Švietimo įstaigoje dirbančių psichologų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Švietimo įstaigoje dirbančių specialiųjų pedagogų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Švietimo įstaigoje dirbančių socialinių pedagogų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Švietimo įstaigoje dirbančių logopedų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Personalo valdymas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Bendras pedagoginių darbuotojų skaičius (tarp jų ir vadovai), tenkantis vienam vaikui (mokiniui), </w:t>
                  </w:r>
                  <w:proofErr w:type="spellStart"/>
                  <w:r>
                    <w:rPr>
                      <w:color w:val="000000"/>
                    </w:rPr>
                    <w:t>Asm</w:t>
                  </w:r>
                  <w:proofErr w:type="spellEnd"/>
                  <w:r>
                    <w:rPr>
                      <w:color w:val="000000"/>
                    </w:rPr>
                    <w:t>.</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0.20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0.20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Vienam vaikui (mokiniui) tenkantis pedagogų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0.20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Personalo valdymas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Darbuotojų kaitos indeksas,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Atleistų ir (ar) savo noru išėjusių darbuotojų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Per metus priimtų darbuotojų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Vidutinis dirbančių darbuotojų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48.00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Kvalifikacijos tobulinimas</w:t>
                  </w:r>
                  <w:r>
                    <w:rPr>
                      <w:color w:val="000000"/>
                    </w:rPr>
                    <w:br/>
                    <w:t xml:space="preserve">1.  Organizuoti ir įgyvendinti įstaigos darbuotojų kvalifikacijos tobulinimą                                                                                            1.1. Parengti ir įgyvendinti pedagogų kvalifikacijos tobulinimo planą 2024 metams.                                                                                                                       1.2. Sudaryti galimybes nenutrūkstamai ir sistemingai ugdyti profesines bei asmenines kompetencijas ,,Besimokančių </w:t>
                  </w:r>
                  <w:r>
                    <w:rPr>
                      <w:color w:val="000000"/>
                    </w:rPr>
                    <w:lastRenderedPageBreak/>
                    <w:t>darželių„ tinkle.                                                                                    1.3. Vykdyti kvalifikacijos tobulinimo stebėseną.                                                                               1.4. Sudaryti sąlygas pedagogų darbo patirties sklaidai  (pasidalijimą žiniomis ir patirtimi įgytomis seminaruose, metodiniuose renginiuose).</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Kvalifikaciją tobulinusių darbuotojų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58.00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61.00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105.17</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Kvalifikaciją tobulinusių darbuotojų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Pedagogų, tobulinusių skaitmeninio raštingumo kompetencijas,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17.00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Kvalifikacijos </w:t>
                  </w:r>
                  <w:proofErr w:type="spellStart"/>
                  <w:r>
                    <w:rPr>
                      <w:color w:val="000000"/>
                    </w:rPr>
                    <w:t>tobulinimosi</w:t>
                  </w:r>
                  <w:proofErr w:type="spellEnd"/>
                  <w:r>
                    <w:rPr>
                      <w:color w:val="000000"/>
                    </w:rPr>
                    <w:t xml:space="preserve"> dienų, tenkančių vienam pedagogui, skaičius ,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Išlaidos vieno darbuotojo kvalifikacijai tobulinti,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Pedagoginių darbuotojų, dalyvavusių tarptautinėse mainų programose,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794F21" w:rsidTr="00794F21">
              <w:trPr>
                <w:trHeight w:val="262"/>
              </w:trPr>
              <w:tc>
                <w:tcPr>
                  <w:tcW w:w="54" w:type="dxa"/>
                  <w:vMerge w:val="restart"/>
                  <w:tcBorders>
                    <w:bottom w:val="nil"/>
                  </w:tcBorders>
                </w:tcPr>
                <w:p w:rsidR="000B14DF" w:rsidRDefault="000B14DF">
                  <w:pPr>
                    <w:spacing w:after="0" w:line="240" w:lineRule="auto"/>
                  </w:pPr>
                </w:p>
              </w:tc>
              <w:tc>
                <w:tcPr>
                  <w:tcW w:w="3115"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b/>
                      <w:color w:val="000000"/>
                    </w:rPr>
                    <w:t>FINANSAI</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Gautos lėšos</w:t>
                  </w:r>
                  <w:r>
                    <w:rPr>
                      <w:color w:val="000000"/>
                    </w:rPr>
                    <w:br/>
                    <w:t>1.Realizuoti finansinių išteklių planavimo ir racionalaus jų panaudojimo sistemą:                                                                                                                         1.1 Parengti metinį įstaigos biudžeto projektą, pagrįstą skaičiavimais ir išvadomis.</w:t>
                  </w:r>
                  <w:r>
                    <w:rPr>
                      <w:color w:val="000000"/>
                    </w:rPr>
                    <w:br/>
                    <w:t>1.2 Užtikrinti tėvų įnašų, už teikiamas paslaugas įstaigoje, kontrolę.</w:t>
                  </w:r>
                  <w:r>
                    <w:rPr>
                      <w:color w:val="000000"/>
                    </w:rPr>
                    <w:br/>
                    <w:t>2. Panaudoti papildomus finansavimo šaltinius, ieškant alternatyvių finansinių</w:t>
                  </w:r>
                  <w:r>
                    <w:rPr>
                      <w:color w:val="000000"/>
                    </w:rPr>
                    <w:br/>
                    <w:t>išteklių šaltinių:</w:t>
                  </w:r>
                  <w:r>
                    <w:rPr>
                      <w:color w:val="000000"/>
                    </w:rPr>
                    <w:br/>
                  </w:r>
                  <w:r>
                    <w:rPr>
                      <w:color w:val="000000"/>
                    </w:rPr>
                    <w:lastRenderedPageBreak/>
                    <w:t>2.1 Pritraukti 1.2 proc. gyventojų pajamų mokesčio lėšas.</w:t>
                  </w:r>
                  <w:r>
                    <w:rPr>
                      <w:color w:val="000000"/>
                    </w:rPr>
                    <w:br/>
                    <w:t>2.2 Dalyvauti ES vaisių, daržovių ir pieno vartojimo skatinimo mokyklose programoje.                                                                                                                     2.3. Nuoma .</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Įstaigos uždirbtų metinių pajamų dalis nuo metinio įstaigos biudžeto,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87.50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Įstaigos metinis biudžetas,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1,397,768.65</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Gauti savivaldybės biudžeto asignavimai,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1,311,836.41</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Vienam mokiniui tenkančios ugdymo plano lėšos,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161.42</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Mokymo ir aplinkos lėšos, tenkančios vienam ikimokyklinio (ir priešmokyklinio) ugdymo įstaigos vaikui ar bendrojo ugdymo (neformaliojo ugdymo) mokyklos mokiniui,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797.71</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Įstaigos įmokų pajamos už paslaugas,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79,994.48</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Įstaigos uždirbtos metinės pajamos iš turto nuomos,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2,463.60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Įmokėtas į savivaldybės biudžetą įstaigos pajamų likutis,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12,655.30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Gautos lėšos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Įstaigos pritrauktos lėšos, </w:t>
                  </w:r>
                  <w:proofErr w:type="spellStart"/>
                  <w:r>
                    <w:rPr>
                      <w:color w:val="000000"/>
                    </w:rPr>
                    <w:t>Eur</w:t>
                  </w:r>
                  <w:proofErr w:type="spellEnd"/>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4,000.00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5,304.52</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132.61</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Gautos projektinio finansavimo lėšos veiklai,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2,186.46</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2024 metais 1,2% pajamų mokesčio paramos lėšų surinkta daugiau nei tikėtasi.</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Gauta parama pinigais,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3,118.06</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Gauta parama paslaugomis ir turtu,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Gautos lėšos </w:t>
                  </w:r>
                  <w:r>
                    <w:rPr>
                      <w:color w:val="000000"/>
                    </w:rPr>
                    <w:lastRenderedPageBreak/>
                    <w:t xml:space="preserve">infrastruktūros ir turto atnaujinimo investicijų projektams įgyvendinti,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Gautos lėšos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Įstaigos vidutinė projektinio finansavimo paraiškomis laimėtų lėšų suma, </w:t>
                  </w:r>
                  <w:proofErr w:type="spellStart"/>
                  <w:r>
                    <w:rPr>
                      <w:color w:val="000000"/>
                    </w:rPr>
                    <w:t>Eur</w:t>
                  </w:r>
                  <w:proofErr w:type="spellEnd"/>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pateiktų projektinio finansavimo paraiškų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Patenkintų įstaigos pateiktų projektinio finansavimo paraiškų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Patenkintų įstaigos pateiktų projektinio finansavimo paraiškų lėšų suma,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Nepatenkintų įstaigos pateiktų projektinio finansavimo paraiškų lėšų suma,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Išlaidos</w:t>
                  </w:r>
                  <w:r>
                    <w:rPr>
                      <w:color w:val="000000"/>
                    </w:rPr>
                    <w:br/>
                    <w:t xml:space="preserve">1. Planuoti prekių, paslaugų ir darbų poreikį.                                                                          1.1. Racionalus finansinių išteklių panaudojimas, kas ketvirtį peržiūrint prioritetus.                                               </w:t>
                  </w:r>
                  <w:r>
                    <w:rPr>
                      <w:color w:val="000000"/>
                    </w:rPr>
                    <w:br/>
                    <w:t>1.2. Prekių ir paslaugų ir darbų pirkimų planavimas ir vykdymas per VIPIS sistemą, prioritetą teikiant pirkimams per CPO.                                                                                                                                                   1.3. Įstaigos lėšų panaudojimo ataskaitų rengimas ir viešinimas įstaigos bendruomenėje.</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Per ataskaitinius metus panaudotų asignavimų dalis nuo patvirtintų metinių asignavimų,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92.00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96.84</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išlaidos,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1,290,123.16</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Patvirtinti įstaigos metiniai asignavimai,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1,397,768.65</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išlaidos darbo užmokesčiui,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1,109,397.01</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išlaidos bendrosios veiklos srities darbuotojų darbo užmokesčiui,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364,921.39</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išlaidos pedagogų darbuotojų darbo užmokesčiui,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797,737.60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Mokymo lėšos, panaudotos mokymo priemonėms įsigyti, tenkančios vienam mokiniui,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30.37</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valdomo nekilnojamojo turto išlaikymo išlaidos,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46,892.00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materialiojo turto paprastojo remonto išlaidos,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17,924.04</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transporto priemonių išlaikymo išlaidos,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išlaidos darbuotojų kvalifikacijai tobulinti,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1,855.72</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išlaidos darbuotojų komandiruotėms,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išlaidos ilgalaikiam turtui įsigyti,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41,772.38</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Metinės įstaigos išlaidos rinkodarai,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Išlaidos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Per ataskaitinius metus panaudotų biudžeto asignavimų dalis nuo patvirtintų metinių </w:t>
                  </w:r>
                  <w:r>
                    <w:rPr>
                      <w:color w:val="000000"/>
                    </w:rPr>
                    <w:lastRenderedPageBreak/>
                    <w:t>biudžeto asignavimų,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95.00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92.00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96.84</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Patvirtinti savivaldybės biudžeto asignavimai,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812,321.00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Panaudoti biudžeto asignavimai metinėms įstaigos išlaidoms,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744,254.45</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Išlaidos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Per ataskaitinius metus panaudotų asignavimų iš įstaigos įmokų pajamų dalis nuo patvirtintų asignavimų iš įstaigos įmokų pajamų,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81.00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95.29</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Patvirtinti asignavimai iš įstaigos įmokų pajamų metinėms įstaigos išlaidoms,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83,200.00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Panaudoti asignavimai iš įstaigos įmokų pajamų metinėms įstaigos išlaidoms, </w:t>
                  </w:r>
                  <w:proofErr w:type="spellStart"/>
                  <w:r>
                    <w:rPr>
                      <w:color w:val="000000"/>
                    </w:rPr>
                    <w:t>Eur</w:t>
                  </w:r>
                  <w:proofErr w:type="spellEnd"/>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67,053.12</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794F21" w:rsidTr="00794F21">
              <w:trPr>
                <w:trHeight w:val="262"/>
              </w:trPr>
              <w:tc>
                <w:tcPr>
                  <w:tcW w:w="54" w:type="dxa"/>
                  <w:vMerge w:val="restart"/>
                  <w:tcBorders>
                    <w:bottom w:val="nil"/>
                  </w:tcBorders>
                </w:tcPr>
                <w:p w:rsidR="000B14DF" w:rsidRDefault="000B14DF">
                  <w:pPr>
                    <w:spacing w:after="0" w:line="240" w:lineRule="auto"/>
                  </w:pPr>
                </w:p>
              </w:tc>
              <w:tc>
                <w:tcPr>
                  <w:tcW w:w="3115"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b/>
                      <w:color w:val="000000"/>
                    </w:rPr>
                    <w:t>TURTAS</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Nekilnojamo turto valdymas</w:t>
                  </w:r>
                  <w:r>
                    <w:rPr>
                      <w:color w:val="000000"/>
                    </w:rPr>
                    <w:br/>
                    <w:t xml:space="preserve">1. Užtikrinti racionalų ir tausojantį turto valdymą.                                               1.1. Vykdyti sunaudojamų energetinių išteklių apskaitą ir kontrolę metų pabaigoje parengti lyginamąją  analizę.                                                                                    1.2. Pateikiamos išvados ir pasiūlymai dėl racionalesnio išteklių naudojimo.  </w:t>
                  </w:r>
                  <w:r>
                    <w:rPr>
                      <w:color w:val="000000"/>
                    </w:rPr>
                    <w:br/>
                    <w:t>2. Užtikrinti įstaigos nuomojamų patalpų tausojantį turto valdymą.</w:t>
                  </w:r>
                  <w:r>
                    <w:rPr>
                      <w:color w:val="000000"/>
                    </w:rPr>
                    <w:br/>
                    <w:t xml:space="preserve">2.1. Atliekamos patalpų apžiūros ir įvertinama esama situacija.                                </w:t>
                  </w:r>
                  <w:r>
                    <w:rPr>
                      <w:color w:val="000000"/>
                    </w:rPr>
                    <w:br/>
                    <w:t>2.2. Atliekama ilgalaikio ir trumpalaikio turto inventorizacija.</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Įstaigos valdomo nekilnojamojo turto 1 kv. m išlaikymo kaina, </w:t>
                  </w:r>
                  <w:proofErr w:type="spellStart"/>
                  <w:r>
                    <w:rPr>
                      <w:color w:val="000000"/>
                    </w:rPr>
                    <w:t>Eur</w:t>
                  </w:r>
                  <w:proofErr w:type="spellEnd"/>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18.76</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187.60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patikėjimo ar panaudos teise valdomo nekilnojamojo turto bendras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2,499.93</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Didelį nuokrypį nulėmė išaugusios komunalinių paslaugų kainos.</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Nekilnojamo turto valdymas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Pagrindinėms įstaigos funkcijoms vykdyti naudojamo nekilnojamojo turto ploto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Pagrindinėms įstaigos funkcijoms atlikti naudojamo įstaigos patikėjimo ar panaudos teise valdomo nekilnojamojo turto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1,005.50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Kitos paskirties įstaigos </w:t>
                  </w:r>
                  <w:r>
                    <w:rPr>
                      <w:color w:val="000000"/>
                    </w:rPr>
                    <w:lastRenderedPageBreak/>
                    <w:t>patikėjimo ar panaudos teise valdomo nekilnojamojo turto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1,494.43</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Vienam mokiniui tenkantis mokymosi ir bendras patalpų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14.62</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Kiti įstaigos patikėjimo ar panaudos teise valdomi inžineriniai statiniai,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išsinuomoto nekilnojamojo turto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Nekilnojamo turto valdymas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išnuomoto nekilnojamojo turto ploto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išnuomoto nekilnojamojo turto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128.09</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išnuomoto nekilnojamojo turto, naudojamo su įstaigai pavestų funkcijų (ugdymo) vykdymu susijusiai veiklai,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128.09</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išnuomoto nekilnojamojo turto, naudojamo su įstaigai pavestų funkcijų atlikimu nesusijusiai veiklai,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Nekilnojamo turto valdymas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valdomo nekilnojamojo turto (kabinetų) plotas, tenkantis vienam įstaigos administracijos darbuotojui, Kv. m</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valdomo nekilnojamojo turto (kabinetų) plotas, Kv. m</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36.48</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794F21" w:rsidTr="00794F21">
              <w:trPr>
                <w:trHeight w:val="262"/>
              </w:trPr>
              <w:tc>
                <w:tcPr>
                  <w:tcW w:w="54" w:type="dxa"/>
                  <w:vMerge w:val="restart"/>
                  <w:tcBorders>
                    <w:bottom w:val="nil"/>
                  </w:tcBorders>
                </w:tcPr>
                <w:p w:rsidR="000B14DF" w:rsidRDefault="000B14DF">
                  <w:pPr>
                    <w:spacing w:after="0" w:line="240" w:lineRule="auto"/>
                  </w:pPr>
                </w:p>
              </w:tc>
              <w:tc>
                <w:tcPr>
                  <w:tcW w:w="3115"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b/>
                      <w:color w:val="000000"/>
                    </w:rPr>
                    <w:t>PAGRINDINĖ VEIKLA (pagal teisės aktuose nustatytas funkcijas)</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Ikimokyklinio ugdymo organizavimas</w:t>
                  </w:r>
                  <w:r>
                    <w:rPr>
                      <w:color w:val="000000"/>
                    </w:rPr>
                    <w:br/>
                    <w:t>1. Teikti kokybišką ikimokyklinį ugdymą, tenkinant vaiko poreikius ir tėvų lūkesčius:</w:t>
                  </w:r>
                  <w:r>
                    <w:rPr>
                      <w:color w:val="000000"/>
                    </w:rPr>
                    <w:br/>
                    <w:t>1.1. Užtikrinamas optimalus vaikų skaičių ikimokyklinio amžiaus vaikų grupėse.</w:t>
                  </w:r>
                  <w:r>
                    <w:rPr>
                      <w:color w:val="000000"/>
                    </w:rPr>
                    <w:br/>
                    <w:t>1.2. Sudaromos tinkamos ugdymosi sąlygos specialiųjų ugdymosi poreikių turintiems vaikams.</w:t>
                  </w:r>
                  <w:r>
                    <w:rPr>
                      <w:color w:val="000000"/>
                    </w:rPr>
                    <w:br/>
                    <w:t xml:space="preserve">1.3.Teikiama </w:t>
                  </w:r>
                  <w:proofErr w:type="spellStart"/>
                  <w:r>
                    <w:rPr>
                      <w:color w:val="000000"/>
                    </w:rPr>
                    <w:t>logopedinė</w:t>
                  </w:r>
                  <w:proofErr w:type="spellEnd"/>
                  <w:r>
                    <w:rPr>
                      <w:color w:val="000000"/>
                    </w:rPr>
                    <w:t>, socialinio pedagogo pagalba vaikams, turintiems specialiųjų ugdymosi poreikių.</w:t>
                  </w:r>
                  <w:r>
                    <w:rPr>
                      <w:color w:val="000000"/>
                    </w:rPr>
                    <w:br/>
                    <w:t>1.4. Siekiama pagerinti  vaikų ugdymosi rezultatus taikant  atnaujintą ikimokyklinio ugdymo programą.</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Pagal ikimokyklinio ugdymo programą ugdomų švietimo įstaigoje vaikų skaičius, </w:t>
                  </w:r>
                  <w:proofErr w:type="spellStart"/>
                  <w:r>
                    <w:rPr>
                      <w:color w:val="000000"/>
                    </w:rPr>
                    <w:t>Asm</w:t>
                  </w:r>
                  <w:proofErr w:type="spellEnd"/>
                  <w:r>
                    <w:rPr>
                      <w:color w:val="000000"/>
                    </w:rPr>
                    <w:t>.</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159.00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139.00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87.42</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Lopšelio grupėse esančių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37.00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Darželio grupėse esančių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105.00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Ikimokyklinio ugdymo organizavimas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Ikimokyklinio amžiaus vaikų skaičiaus kaita, </w:t>
                  </w:r>
                  <w:proofErr w:type="spellStart"/>
                  <w:r>
                    <w:rPr>
                      <w:color w:val="000000"/>
                    </w:rPr>
                    <w:t>Asm</w:t>
                  </w:r>
                  <w:proofErr w:type="spellEnd"/>
                  <w:r>
                    <w:rPr>
                      <w:color w:val="000000"/>
                    </w:rPr>
                    <w:t>.</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Atvykusių iš kitos ugdymo įstaigos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Dėl didelio vietų skaičiaus Kauno miesto darželiuose, tėvai renkasi vesti vaikus į darželius esančius pakeliui į darbą ar arčiau namų.</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Vaikų, tęsiančių ugdymąsi pagal priešmokyklinio ugdymo programą,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Išvykusių į kitą ugdymo įstaigą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 Ikimokyklinio ugdymo </w:t>
                  </w:r>
                  <w:r>
                    <w:rPr>
                      <w:color w:val="000000"/>
                    </w:rPr>
                    <w:lastRenderedPageBreak/>
                    <w:t>organizavimas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 xml:space="preserve">Ikimokyklinio amžiaus vaikų, </w:t>
                  </w:r>
                  <w:r>
                    <w:rPr>
                      <w:color w:val="000000"/>
                    </w:rPr>
                    <w:lastRenderedPageBreak/>
                    <w:t>turinčių specialiųjų ugdymosi poreikių, dalis nuo bendro vaikų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45.00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41.00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91.11</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Specialiųjų ugdymosi </w:t>
                  </w:r>
                  <w:r>
                    <w:rPr>
                      <w:color w:val="000000"/>
                    </w:rPr>
                    <w:lastRenderedPageBreak/>
                    <w:t xml:space="preserve">poreikių turinčių vaikų lopšelio grupėse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Specialiųjų ugdymosi poreikių turinčių vaikų darželio grupėse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Elgesio ir emocijų sutrikimų turinčių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Ikimokyklinio amžiaus vaikų, turinčių kalbėjimo ir kalbos sutrikimų,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44.00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Priešmokyklinio ugdymo organizavimas</w:t>
                  </w:r>
                  <w:r>
                    <w:rPr>
                      <w:color w:val="000000"/>
                    </w:rPr>
                    <w:br/>
                    <w:t>1. Teikti kokybišką priešmokyklinį ugdymą, tenkinant vaiko poreikius ir tėvų</w:t>
                  </w:r>
                  <w:r>
                    <w:rPr>
                      <w:color w:val="000000"/>
                    </w:rPr>
                    <w:br/>
                    <w:t>lūkesčius:</w:t>
                  </w:r>
                  <w:r>
                    <w:rPr>
                      <w:color w:val="000000"/>
                    </w:rPr>
                    <w:br/>
                    <w:t>1.1. Sudaryti saugias ir higienos normas atitinkančias ugdymosi sąlygas priešmokyklinio amžiaus vaikams.</w:t>
                  </w:r>
                  <w:r>
                    <w:rPr>
                      <w:color w:val="000000"/>
                    </w:rPr>
                    <w:br/>
                    <w:t xml:space="preserve">1.2.  Švietimo pagalbos specialistų prieinamumas kiekvienam specialiųjų ugdymosi poreikių turinčiam vaikui.                                                                                          1.3. 2 kartus metuose pagal atnaujinto priešmokyklinio ugdymo turinio įgyvendinimo programą  atliktas priešmokyklinio amžiaus vaikų gebėjimų ir pasiekimų įvertinimas pagal 3 lygius.                                                                           1.4 Mokslo metų pabaigoje parengti ataskaitas ir rekomendacijas tėvams </w:t>
                  </w:r>
                  <w:r>
                    <w:rPr>
                      <w:color w:val="000000"/>
                    </w:rPr>
                    <w:lastRenderedPageBreak/>
                    <w:t>(globėjams) ir kitos pakopos ugdymo mokytojams apie vaiko pasiekimus, vaiko pažangos stebėsenos rezultatus.</w:t>
                  </w:r>
                  <w:r>
                    <w:rPr>
                      <w:color w:val="000000"/>
                    </w:rPr>
                    <w:br/>
                    <w:t>1.5 Tęsti bendrų ugdomųjų veiklų su  VDU Atžalyno progimnaziją  , V. Kudirkos bibliotekos Kauno „Dainavos“ padaliniu,  Kauno Paparčio pradine mokykla, Kauno Aleksandro Stulginskio mokykla, Kauno M. Mažvydo progimnazija organizavimą.</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Ugdymo įstaigą lankančių priešmokyklinio amžiaus vaikų dalis nuo bendro įstaigą lankančių vaikų (mokinių)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16.00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Vaikų, ugdomų pagal priešmokyklinio ugdymo programą, ikimokyklinio ugdymo įstaigoje ar bendrojo ugdymo mokykloje,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28.00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Priešmokyklinio ugdymo organizavimas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Priešmokyklinio amžiaus vaikų (mokinių) skaičiaus kaita, </w:t>
                  </w:r>
                  <w:proofErr w:type="spellStart"/>
                  <w:r>
                    <w:rPr>
                      <w:color w:val="000000"/>
                    </w:rPr>
                    <w:t>Asm</w:t>
                  </w:r>
                  <w:proofErr w:type="spellEnd"/>
                  <w:r>
                    <w:rPr>
                      <w:color w:val="000000"/>
                    </w:rPr>
                    <w:t>.</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Atvykusių iš kitos ugdymo įstaigos vaikų (mokinių)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Dėl didelio vietų skaičiaus Kauno miesto darželiuose, tėvai renkasi vesti vaikus į darželius esančius pakeliui į darbą ar arčiau namų.</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Išvykusių į kitą ugdymo įstaigą vaikų (mokinių)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Vaikų (mokinių), baigusių priešmokyklinio ugdymo programą ir tęsiančių ugdymąsi pagal pradinio ugdymo programą,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Priešmokyklinio ugdymo organizavimas</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Priešmokykliniame ugdyme dalyvaujančių vaikų (mokinių), turinčių specialiųjų ugdymosi poreikių, dalis nuo bendro pagal priešmokyklinio ugdymo programą ugdomų vaikų (mokinių)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45.00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39.00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86.67</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Pagal priešmokyklinio ugdymo programą ikimokyklinio ugdymo įstaigoje ar bendrojo ugdymo mokykloje ugdomų vaikų (mokinių), turinčių specialiųjų ugdymosi poreikių,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Elgesio ir emocijų </w:t>
                  </w:r>
                  <w:r>
                    <w:rPr>
                      <w:color w:val="000000"/>
                    </w:rPr>
                    <w:lastRenderedPageBreak/>
                    <w:t>sutrikimų turinčių vaikų, ugdomų pagal priešmokyklinio ugdymo programą ikimokyklinio ugdymo įstaigoje,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Elgesio ir emocijų sutrikimų turinčių vaikų, ugdomų pagal priešmokyklinio ugdymo programą bendrojo ugdymo mokykloje,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Elgesio ir emocijų sutrikimų turinčių vaikų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Vaikų, turinčių kalbėjimo ir kalbos sutrikimų, dalis, Proc.</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39.00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794F21" w:rsidTr="00794F21">
              <w:trPr>
                <w:trHeight w:val="262"/>
              </w:trPr>
              <w:tc>
                <w:tcPr>
                  <w:tcW w:w="54" w:type="dxa"/>
                  <w:vMerge w:val="restart"/>
                  <w:tcBorders>
                    <w:bottom w:val="nil"/>
                  </w:tcBorders>
                </w:tcPr>
                <w:p w:rsidR="000B14DF" w:rsidRDefault="000B14DF">
                  <w:pPr>
                    <w:spacing w:after="0" w:line="240" w:lineRule="auto"/>
                  </w:pPr>
                </w:p>
              </w:tc>
              <w:tc>
                <w:tcPr>
                  <w:tcW w:w="3115"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b/>
                      <w:color w:val="000000"/>
                    </w:rPr>
                    <w:t>PASLAUGŲ KOKYBĖ IR PRIEINAMUMAS</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t xml:space="preserve">1.Siekti asmeninės vaiko pažangos, taikant įvairius metodus:                                                                                                          1.1.Suorganizuotos STEAM kūrybinės dirbtuvės su socialiniais partneriais, vaikų pažintinei kompetencijai ugdyti.                                                                               1.2. Ikimokyklinio ir priešmokyklinio ugdymo mokytojai  įgyvendins ugdomąsias veiklas iš metodinio rinkinio ,,STEAM iššūkiai pasakoms“, plės vaikų kritinį mąstymą, skatins ieškoti problemų sprendimo būdų.                           </w:t>
                  </w:r>
                  <w:r>
                    <w:rPr>
                      <w:color w:val="000000"/>
                    </w:rPr>
                    <w:br/>
                    <w:t xml:space="preserve">1.3.Ptobulintos edukacinės aplinkos vaikų žaidimams ir patirtinei veiklai ( sukurta lauko </w:t>
                  </w:r>
                  <w:r>
                    <w:rPr>
                      <w:color w:val="000000"/>
                    </w:rPr>
                    <w:lastRenderedPageBreak/>
                    <w:t xml:space="preserve">edukacinė erdvė ,,Paukščių takas“,  sukurtas STEAM veiklos stalas </w:t>
                  </w:r>
                  <w:proofErr w:type="spellStart"/>
                  <w:r>
                    <w:rPr>
                      <w:color w:val="000000"/>
                    </w:rPr>
                    <w:t>patyriminei</w:t>
                  </w:r>
                  <w:proofErr w:type="spellEnd"/>
                  <w:r>
                    <w:rPr>
                      <w:color w:val="000000"/>
                    </w:rPr>
                    <w:t xml:space="preserve"> veiklai lauke).                                                                                         1.4.  Pasakų analizavimas  taikant naratyvinio žaidimo elementus ikimokyklinėse ir priešmokyklinėse grupėse.</w:t>
                  </w:r>
                  <w:r>
                    <w:rPr>
                      <w:color w:val="000000"/>
                    </w:rPr>
                    <w:br/>
                    <w:t xml:space="preserve">2. Stiprinti vaikų fizinę, psichinę ir emocinę sveikatą, diegiant aktyvios mokyklos principus.                                                                                                    2.1 </w:t>
                  </w:r>
                  <w:proofErr w:type="spellStart"/>
                  <w:r>
                    <w:rPr>
                      <w:color w:val="000000"/>
                    </w:rPr>
                    <w:t>Renginiuų</w:t>
                  </w:r>
                  <w:proofErr w:type="spellEnd"/>
                  <w:r>
                    <w:rPr>
                      <w:color w:val="000000"/>
                    </w:rPr>
                    <w:t xml:space="preserve"> skatinančių  fizinį aktyvumą organizavimas.                                      2.2 Bendradarbiavimas su socialiniais partneriais ir </w:t>
                  </w:r>
                  <w:proofErr w:type="spellStart"/>
                  <w:r>
                    <w:rPr>
                      <w:color w:val="000000"/>
                    </w:rPr>
                    <w:t>tinklaveikos</w:t>
                  </w:r>
                  <w:proofErr w:type="spellEnd"/>
                  <w:r>
                    <w:rPr>
                      <w:color w:val="000000"/>
                    </w:rPr>
                    <w:t xml:space="preserve"> plėtra sveikatos stiprinimo tematika.                                                                                   2.3.Papildyta įstaigos sporto materialinė bazė.                                                     2.4..Šokio ir vaidybos elementų įtraukimas į ugdomąją veiklą.                                2.5. Įstaigos lauko erdvėje įrengtas gėlynas.                                                                3. Aktyviai dalyvauti kitų institucijų organizuojamuose renginiuose, projektuose </w:t>
                  </w:r>
                  <w:proofErr w:type="spellStart"/>
                  <w:r>
                    <w:rPr>
                      <w:color w:val="000000"/>
                    </w:rPr>
                    <w:t>beipatiems</w:t>
                  </w:r>
                  <w:proofErr w:type="spellEnd"/>
                  <w:r>
                    <w:rPr>
                      <w:color w:val="000000"/>
                    </w:rPr>
                    <w:t xml:space="preserve"> juos rengti.</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Ikimokyklinio amžiaus vaikų pasiekimų ir pažangos lygio, atitinkančio vaiko raidą, dalis nuo bendro besimokančių pagal ikimokyklinio ugdymo programą švietimo įstaigoje vaikų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74.00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82.00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110.81</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Lopšelio grupės vaikų, kurių pasiekimų lygis atitinka jų raidą,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Darželio grupės vaikų, kurių pasiekimų lygis atitinka jų raidą,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83.00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Vaikų, ugdomų pagal ikimokyklinio ugdymo programą švietimo įstaigoje, pagerinusių komunikavimo ir savarankiškumo, saviraiškos kompetencijas, dalis nuo bendro vaikų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76.00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87.00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114.47</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Ikimokyklinio amžiaus vaikų, pagerinusių komunikavimo kompetenciją,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28.00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Ikimokyklinio amžiaus vaikų, pagerinusių savarankiškumo, </w:t>
                  </w:r>
                  <w:r>
                    <w:rPr>
                      <w:color w:val="000000"/>
                    </w:rPr>
                    <w:lastRenderedPageBreak/>
                    <w:t xml:space="preserve">saviraiškos kompetenciją,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51.00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Ikimokyklinio amžiaus vaikų, turinčių specialiųjų ugdymosi poreikių, pagerinusių ugdymosi rezultatus,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88.89</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Specialiųjų ugdymosi poreikių turinčių vaikų, padariusių pažangą,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Specialiųjų ugdymosi poreikių turinčių vaikų, pagerinusių kalbos ir kalbėjimo kompetenciją,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Vaikų tėvų (globėjų, rūpintojų), patenkintų teikiamų ugdymo paslaugų kokybe, dalis nuo bendro jų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72.00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74.00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102.78</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Tėvų (globėjų, rūpintojų, įtėvių) labai gerai ir gerai vertinančių vaikų ugdymo kokybę lopšelio grupėje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29.00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Tėvų (globėjų, rūpintojų, įtėvių) labai gerai ir gerai vertinančių vaikų ugdymo(</w:t>
                  </w:r>
                  <w:proofErr w:type="spellStart"/>
                  <w:r>
                    <w:rPr>
                      <w:color w:val="000000"/>
                    </w:rPr>
                    <w:t>si</w:t>
                  </w:r>
                  <w:proofErr w:type="spellEnd"/>
                  <w:r>
                    <w:rPr>
                      <w:color w:val="000000"/>
                    </w:rPr>
                    <w:t xml:space="preserve">) kokybę darželio grupėje,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77.00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vadovų stebėtos ir vertintos labai gerai ir gerai ugdomosios veiklos dalis nuo bendro ikimokykliniam ugdymuisi skirtų veiklų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Vadovų stebėtų ugdomųjų veiklų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2024 m. įstaigos vadovai stebėjo 10 atvirų IU mokytojų veiklų. Visos bendrame vertime įvertintos labai gerai arba gerai.</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Vadovų labai gerai ir gerai įvertintų stebėtų ugdomųjų veiklų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Lankytų dienų dalis nuo bendro ugdymui(</w:t>
                  </w:r>
                  <w:proofErr w:type="spellStart"/>
                  <w:r>
                    <w:rPr>
                      <w:color w:val="000000"/>
                    </w:rPr>
                    <w:t>si</w:t>
                  </w:r>
                  <w:proofErr w:type="spellEnd"/>
                  <w:r>
                    <w:rPr>
                      <w:color w:val="000000"/>
                    </w:rPr>
                    <w:t>) skirtų dienų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73.00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104.29</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Lankytų dienų lopšelio grupėse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17,489.00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Lankytų dienų darželio grupėse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5,355.00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Vykdomų tarptautinių ir respublikinių projektų skaičius, Vnt.</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38.00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316.67</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Švietimo įstaigos įgyvendinamų respublikinių projektų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33.00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2024 m. įstaigos vaikai dalyvavo 38-iose tarptautiniuose ir respublikiniuose projektuose. Didžioji dalis jų buvo susijusi su STEAM ugdymo metodo taikymu ugdomojoje veikloje ( „Lesyklėlė alkanam paukšteliui“ 2024 m. sausio 14 d. </w:t>
                  </w:r>
                  <w:proofErr w:type="spellStart"/>
                  <w:r>
                    <w:rPr>
                      <w:color w:val="000000"/>
                    </w:rPr>
                    <w:t>Įsak</w:t>
                  </w:r>
                  <w:proofErr w:type="spellEnd"/>
                  <w:r>
                    <w:rPr>
                      <w:color w:val="000000"/>
                    </w:rPr>
                    <w:t xml:space="preserve">. Nr. V-14, „Langas į gamtą“ 2024 m. spalio 23 d. </w:t>
                  </w:r>
                  <w:proofErr w:type="spellStart"/>
                  <w:r>
                    <w:rPr>
                      <w:color w:val="000000"/>
                    </w:rPr>
                    <w:t>Įsak</w:t>
                  </w:r>
                  <w:proofErr w:type="spellEnd"/>
                  <w:r>
                    <w:rPr>
                      <w:color w:val="000000"/>
                    </w:rPr>
                    <w:t xml:space="preserve">. </w:t>
                  </w:r>
                  <w:proofErr w:type="spellStart"/>
                  <w:r>
                    <w:rPr>
                      <w:color w:val="000000"/>
                    </w:rPr>
                    <w:t>nr.</w:t>
                  </w:r>
                  <w:proofErr w:type="spellEnd"/>
                  <w:r>
                    <w:rPr>
                      <w:color w:val="000000"/>
                    </w:rPr>
                    <w:t xml:space="preserve"> V-231 ir kt.), bei sveikatos stiprinimo temomis („Lietuvos mažųjų žaidynės“, „</w:t>
                  </w:r>
                  <w:proofErr w:type="spellStart"/>
                  <w:r>
                    <w:rPr>
                      <w:color w:val="000000"/>
                    </w:rPr>
                    <w:t>Futboliukas</w:t>
                  </w:r>
                  <w:proofErr w:type="spellEnd"/>
                  <w:r>
                    <w:rPr>
                      <w:color w:val="000000"/>
                    </w:rPr>
                    <w:t xml:space="preserve">“, „Rieda ratai </w:t>
                  </w:r>
                  <w:proofErr w:type="spellStart"/>
                  <w:r>
                    <w:rPr>
                      <w:color w:val="000000"/>
                    </w:rPr>
                    <w:t>rateliukai</w:t>
                  </w:r>
                  <w:proofErr w:type="spellEnd"/>
                  <w:r>
                    <w:rPr>
                      <w:color w:val="000000"/>
                    </w:rPr>
                    <w:t>“,, „Sportuojantis koridorius“).</w:t>
                  </w: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Švietimo įstaigos įgyvendinamų ugdymo kokybės gerinimo projektų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Švietimo įstaigos įgyvendinamų tarptautinių projektų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Gerų ugdymo(</w:t>
                  </w:r>
                  <w:proofErr w:type="spellStart"/>
                  <w:r>
                    <w:rPr>
                      <w:color w:val="000000"/>
                    </w:rPr>
                    <w:t>si</w:t>
                  </w:r>
                  <w:proofErr w:type="spellEnd"/>
                  <w:r>
                    <w:rPr>
                      <w:color w:val="000000"/>
                    </w:rPr>
                    <w:t>) rezultatų užtikrinimas priešmokyklinio ugdymo programoje</w:t>
                  </w:r>
                  <w:r>
                    <w:rPr>
                      <w:color w:val="000000"/>
                    </w:rPr>
                    <w:br/>
                    <w:t>II Saugumo ir geros savijautos užtikrinimas :                                                                                   1. Užtikrinama pozityvi, saugi ugdymo(</w:t>
                  </w:r>
                  <w:proofErr w:type="spellStart"/>
                  <w:r>
                    <w:rPr>
                      <w:color w:val="000000"/>
                    </w:rPr>
                    <w:t>si</w:t>
                  </w:r>
                  <w:proofErr w:type="spellEnd"/>
                  <w:r>
                    <w:rPr>
                      <w:color w:val="000000"/>
                    </w:rPr>
                    <w:t xml:space="preserve">) aplinka, gerinanti </w:t>
                  </w:r>
                  <w:r>
                    <w:rPr>
                      <w:color w:val="000000"/>
                    </w:rPr>
                    <w:lastRenderedPageBreak/>
                    <w:t>socialinio-emocinio ugdymo kompetencijas.                                                                                                                                       1.1. Socialinio-emocinio ugdymo programos „</w:t>
                  </w:r>
                  <w:proofErr w:type="spellStart"/>
                  <w:r>
                    <w:rPr>
                      <w:color w:val="000000"/>
                    </w:rPr>
                    <w:t>Kimochis</w:t>
                  </w:r>
                  <w:proofErr w:type="spellEnd"/>
                  <w:r>
                    <w:rPr>
                      <w:color w:val="000000"/>
                    </w:rPr>
                    <w:t>“ vykdymas ikimokyklinėse ugdymo grupėse.</w:t>
                  </w:r>
                  <w:r>
                    <w:rPr>
                      <w:color w:val="000000"/>
                    </w:rPr>
                    <w:br/>
                    <w:t>1.2. Socialinio-emocinio ugdymo programos „</w:t>
                  </w:r>
                  <w:proofErr w:type="spellStart"/>
                  <w:r>
                    <w:rPr>
                      <w:color w:val="000000"/>
                    </w:rPr>
                    <w:t>Zipio</w:t>
                  </w:r>
                  <w:proofErr w:type="spellEnd"/>
                  <w:r>
                    <w:rPr>
                      <w:color w:val="000000"/>
                    </w:rPr>
                    <w:t xml:space="preserve"> draugai“ vykdymas priešmokyklinio ugdymo grupėse.                                                                                                                                   1.3. Parengtas 2024 m. sveikatos stiprinimo programos „Sveikuoliai, vikruoliai užaugti dideli svajoja“ planas, integruojant veiklas su tėvais ir visa įstaigos bendruomene, </w:t>
                  </w:r>
                  <w:proofErr w:type="spellStart"/>
                  <w:r>
                    <w:rPr>
                      <w:color w:val="000000"/>
                    </w:rPr>
                    <w:t>stirprinant</w:t>
                  </w:r>
                  <w:proofErr w:type="spellEnd"/>
                  <w:r>
                    <w:rPr>
                      <w:color w:val="000000"/>
                    </w:rPr>
                    <w:t xml:space="preserve"> vaikų fizinę, psichinę, socialinę sveikatą.</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Priešmokyklinio amžiaus vaikų (mokinių), baigusių priešmokyklinio ugdymo programą,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99.00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101.01</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Priešmokyklinio amžiaus vaikų (mokinių), sėkmingai baigusių priešmokyklinio ugdymo programą,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37.00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Gerų ugdymo(</w:t>
                  </w:r>
                  <w:proofErr w:type="spellStart"/>
                  <w:r>
                    <w:rPr>
                      <w:color w:val="000000"/>
                    </w:rPr>
                    <w:t>si</w:t>
                  </w:r>
                  <w:proofErr w:type="spellEnd"/>
                  <w:r>
                    <w:rPr>
                      <w:color w:val="000000"/>
                    </w:rPr>
                    <w:t>) rezultatų užtikrinimas priešmokyklinio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Priešmokyklinio amžiaus vaikų (mokinių), pagerinusių komunikavimo, savarankiškumo ir saviraiškos kompetencijas, dalis nuo bendro pagal priešmokyklinio ugdymo programą ugdomų vaikų (mokinių)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94.00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117.50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Priešmokyklinio amžiaus vaikų (mokinių), pagerinusių komunikavimo kompetenciją,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34.00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Priešmokyklinio amžiaus vaikų, pagerinusių savarankiškumo, saviraiškos galimybes atsiskleisti,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36.00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Gerų ugdymo(</w:t>
                  </w:r>
                  <w:proofErr w:type="spellStart"/>
                  <w:r>
                    <w:rPr>
                      <w:color w:val="000000"/>
                    </w:rPr>
                    <w:t>si</w:t>
                  </w:r>
                  <w:proofErr w:type="spellEnd"/>
                  <w:r>
                    <w:rPr>
                      <w:color w:val="000000"/>
                    </w:rPr>
                    <w:t>) rezultatų užtikrinimas priešmokyklinio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Priešmokyklinio amžiaus vaikų tėvų (globėjų, rūpintojų, įtėvių), patenkintų teikiamų ugdymo paslaugų kokybe, dalis nuo bendro jų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72.00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71.00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98.61</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Tėvų (globėjų, rūpintojų, įtėvių) labai gerai ir gerai vertinančių ugdymo kokybę vaikų, ugdomų pagal priešmokyklinio ugdymo programą ikimokyklinio ugdymo </w:t>
                  </w:r>
                  <w:r>
                    <w:rPr>
                      <w:color w:val="000000"/>
                    </w:rPr>
                    <w:lastRenderedPageBreak/>
                    <w:t xml:space="preserve">įstaigoje,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27.00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Tėvų (globėjų, rūpintojų, įtėvių) labai gerai ir gerai vertinančių priešmokyklinio ugdymo kokybę bendrojo ugdymo mokykloje,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Gerų ugdymo(</w:t>
                  </w:r>
                  <w:proofErr w:type="spellStart"/>
                  <w:r>
                    <w:rPr>
                      <w:color w:val="000000"/>
                    </w:rPr>
                    <w:t>si</w:t>
                  </w:r>
                  <w:proofErr w:type="spellEnd"/>
                  <w:r>
                    <w:rPr>
                      <w:color w:val="000000"/>
                    </w:rPr>
                    <w:t>) rezultatų užtikrinimas priešmokyklinio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Įstaigos vadovų stebėtų priešmokyklinio ugdymo programos veiklų dalis nuo bendro priešmokykliniam ugdymui skirtų veiklų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0.10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0.10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Vadovų stebėtų priešmokyklinio ugdymo programos veiklų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Vadovų stebėtų ir vertintų labai gerai ir gerai priešmokyklinio ugdymo programos veiklų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 Gerų ugdymo(</w:t>
                  </w:r>
                  <w:proofErr w:type="spellStart"/>
                  <w:r>
                    <w:rPr>
                      <w:color w:val="000000"/>
                    </w:rPr>
                    <w:t>si</w:t>
                  </w:r>
                  <w:proofErr w:type="spellEnd"/>
                  <w:r>
                    <w:rPr>
                      <w:color w:val="000000"/>
                    </w:rPr>
                    <w:t>) rezultatų užtikrinimas priešmokyklinio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Lankytų dienų dalis nuo bendro ugdymui skirtų dienų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63.00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90.00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Pagal priešmokyklinio ugdymo programą ugdomų vaikų (mokinių) lankytų dienų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5,331.00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Be pateisinamos priežasties praleistų dienų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III. Saugumo ir geros savijautos užtikrinimas ikimokyklinio ugdymo programoje</w:t>
                  </w:r>
                  <w:r>
                    <w:rPr>
                      <w:color w:val="000000"/>
                    </w:rPr>
                    <w:br/>
                    <w:t>III Paslaugų, atsižvelgiant į vaiko (mokinio) poreikius, užtikrinimas :                                                       1.Stiprinti švietimo pagalbos įstaigoje teikimą, siekiant maksimaliai patenkinti vaikų poreikius:</w:t>
                  </w:r>
                  <w:r>
                    <w:rPr>
                      <w:color w:val="000000"/>
                    </w:rPr>
                    <w:br/>
                    <w:t xml:space="preserve">1.1 Stiprinti VGK veiklą, skatinant </w:t>
                  </w:r>
                  <w:r>
                    <w:rPr>
                      <w:color w:val="000000"/>
                    </w:rPr>
                    <w:lastRenderedPageBreak/>
                    <w:t>vaikų šeimų bendradarbiavimą su įstaiga.                                                                                                1.2. Pastoviai teikti švietimo pagalbos specialistų paslaugas.                                                                     1.3 Integruoti švietimo pagalbos specialistų paslaugas į bendras grupės veiklas.</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Vaikų, saugiai ir gerai besijaučiančių švietimo įstaigoje,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72.00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110.77</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Tėvų (globėjų, rūpintojų, įtėvių), dalyvavusių apklausoje, labai gerai ir gerai vertinančių lopšelio grupės vaikų savijautą įstaigoje,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27.00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Tėvų (globėjų, rūpintojų, įtėvių), dalyvavusių apklausoje labai gerai ir gerai vertinančių darželio grupės vaikų savijautą įstaigoje,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78.00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Įgyvendinamų integruotų prevencinių programų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III. Saugumo ir geros savijautos užtikrinimas ikimokyklinio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Grupių, dalyvaujančių socialinio emocinio ugdymo, sveikatos stiprinimo programose, dalis nuo bendro grupių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120.00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Grupių, dalyvaujančių edukacinėse socialinio emocinio ugdymo programose,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Grupių, dalyvaujančių vaikams vedamose edukacinėse sveikatos stiprinimo programose,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IV. Geros savijautos užtikrinimas priešmokyklinio ugdymo programoje</w:t>
                  </w:r>
                  <w:r>
                    <w:rPr>
                      <w:color w:val="000000"/>
                    </w:rPr>
                    <w:br/>
                    <w:t>1. Užtikrinama pozityvi, saugi ugdymo(</w:t>
                  </w:r>
                  <w:proofErr w:type="spellStart"/>
                  <w:r>
                    <w:rPr>
                      <w:color w:val="000000"/>
                    </w:rPr>
                    <w:t>si</w:t>
                  </w:r>
                  <w:proofErr w:type="spellEnd"/>
                  <w:r>
                    <w:rPr>
                      <w:color w:val="000000"/>
                    </w:rPr>
                    <w:t>) aplinka, gerinanti socialinio-emocinio ugdymo kompetencijas.                                                                                            1.1. Socialinio-emocinio ugdymo programos „</w:t>
                  </w:r>
                  <w:proofErr w:type="spellStart"/>
                  <w:r>
                    <w:rPr>
                      <w:color w:val="000000"/>
                    </w:rPr>
                    <w:t>Kimochis</w:t>
                  </w:r>
                  <w:proofErr w:type="spellEnd"/>
                  <w:r>
                    <w:rPr>
                      <w:color w:val="000000"/>
                    </w:rPr>
                    <w:t>“ vykdymas ikimokyklinėse ugdymo grupėse.</w:t>
                  </w:r>
                  <w:r>
                    <w:rPr>
                      <w:color w:val="000000"/>
                    </w:rPr>
                    <w:br/>
                    <w:t>1.2. Socialinio-emocinio ugdymo programos „</w:t>
                  </w:r>
                  <w:proofErr w:type="spellStart"/>
                  <w:r>
                    <w:rPr>
                      <w:color w:val="000000"/>
                    </w:rPr>
                    <w:t>Zipio</w:t>
                  </w:r>
                  <w:proofErr w:type="spellEnd"/>
                  <w:r>
                    <w:rPr>
                      <w:color w:val="000000"/>
                    </w:rPr>
                    <w:t xml:space="preserve"> draugai“ </w:t>
                  </w:r>
                  <w:r>
                    <w:rPr>
                      <w:color w:val="000000"/>
                    </w:rPr>
                    <w:lastRenderedPageBreak/>
                    <w:t xml:space="preserve">vykdymas priešmokyklinio ugdymo grupėse.                                                                                             1.3. Parengtas 2024 m. sveikatos stiprinimo programos „Sveikuoliai, vikruoliai užaugti dideli svajoja“ planas, integruojant veiklas su tėvais ir visa įstaigos bendruomene, </w:t>
                  </w:r>
                  <w:proofErr w:type="spellStart"/>
                  <w:r>
                    <w:rPr>
                      <w:color w:val="000000"/>
                    </w:rPr>
                    <w:t>stirprinant</w:t>
                  </w:r>
                  <w:proofErr w:type="spellEnd"/>
                  <w:r>
                    <w:rPr>
                      <w:color w:val="000000"/>
                    </w:rPr>
                    <w:t xml:space="preserve"> vaikų fizinę, psichinę, socialinę sveikatą.</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Vaikų (mokinių), ugdomų pagal priešmokyklinio ugdymo programą, saugiai ir gerai besijaučiančių ugdymo įstaigoje, dalis,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65.00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70.00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107.69</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Tėvų (globėjų, rūpintojų, įtėvių), labai gerai ir gerai vertinančių vaiko (mokinio) savijautą,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26.00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Įgyvendinamų integruotų prevencinių programų skaičius, Vnt.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V. Paslaugų, atsižvelgiant į vaiko poreikius, užtikrinimas ikimokyklinio ugdymo programoje</w:t>
                  </w:r>
                  <w:r>
                    <w:rPr>
                      <w:color w:val="000000"/>
                    </w:rPr>
                    <w:br/>
                    <w:t>1.Stiprinti švietimo pagalbos įstaigoje teikimą, siekiant maksimaliai patenkinti vaikų poreikius:</w:t>
                  </w:r>
                  <w:r>
                    <w:rPr>
                      <w:color w:val="000000"/>
                    </w:rPr>
                    <w:br/>
                    <w:t xml:space="preserve">1.1 Stiprinti VGK veiklą, skatinant vaikų šeimų bendradarbiavimą su įstaiga.        </w:t>
                  </w:r>
                  <w:r>
                    <w:rPr>
                      <w:color w:val="000000"/>
                    </w:rPr>
                    <w:br/>
                    <w:t xml:space="preserve">1.2. Pastoviai teikti švietimo pagalbos specialistų paslaugas.                                </w:t>
                  </w:r>
                  <w:r>
                    <w:rPr>
                      <w:color w:val="000000"/>
                    </w:rPr>
                    <w:br/>
                    <w:t>1.3 Integruoti švietimo pagalbos specialistų paslaugas į bendras grupės veiklas.</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Švietimo pagalbos teikiamomis paslaugomis besinaudojančių vaikų dalis nuo bendro jų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59.00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118.00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Logopedo pagalbą gaunančių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Specialiojo pedagogo pagalbą gaunančių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Psichologo pagalbą gaunančių vaikų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8.00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Vaikų, tenkančių vienam pagalbos specialistui,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VI. Paslaugų, atsižvelgiant į vaiko </w:t>
                  </w:r>
                  <w:r>
                    <w:rPr>
                      <w:color w:val="000000"/>
                    </w:rPr>
                    <w:lastRenderedPageBreak/>
                    <w:t>(mokinio) poreikius, užtikrinimas priešmokyklinio ugdymo programoje</w:t>
                  </w:r>
                  <w:r>
                    <w:rPr>
                      <w:color w:val="000000"/>
                    </w:rPr>
                    <w:br/>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lastRenderedPageBreak/>
                    <w:t xml:space="preserve">Švietimo įstaigos teikiamomis </w:t>
                  </w:r>
                  <w:r>
                    <w:rPr>
                      <w:color w:val="000000"/>
                    </w:rPr>
                    <w:lastRenderedPageBreak/>
                    <w:t>pagalbos paslaugomis besinaudojančių vaikų (mokinių), ugdomų pagal priešmokyklinio ugdymo programą, dalis nuo bendro jų skaičiaus, Proc.</w:t>
                  </w: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50.00</w:t>
                  </w: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50.00</w:t>
                  </w: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100.00</w:t>
                  </w: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Logopedo pagalbą </w:t>
                  </w:r>
                  <w:r>
                    <w:rPr>
                      <w:color w:val="000000"/>
                    </w:rPr>
                    <w:lastRenderedPageBreak/>
                    <w:t xml:space="preserve">gaunančių vaikų (mokinių)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lastRenderedPageBreak/>
                    <w:t>12.00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Specialiojo pedagogo pagalbą gaunančių vaikų (mokinių)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0.00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Psichologo pagalbą gaunančių vaikų (mokinių)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1.00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r w:rsidR="000B14DF">
              <w:trPr>
                <w:trHeight w:val="262"/>
              </w:trPr>
              <w:tc>
                <w:tcPr>
                  <w:tcW w:w="54" w:type="dxa"/>
                  <w:vMerge/>
                </w:tcPr>
                <w:p w:rsidR="000B14DF" w:rsidRDefault="000B14DF">
                  <w:pPr>
                    <w:spacing w:after="0" w:line="240" w:lineRule="auto"/>
                  </w:pPr>
                </w:p>
              </w:tc>
              <w:tc>
                <w:tcPr>
                  <w:tcW w:w="31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7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9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c>
                <w:tcPr>
                  <w:tcW w:w="2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pPr>
                  <w:r>
                    <w:rPr>
                      <w:color w:val="000000"/>
                    </w:rPr>
                    <w:t xml:space="preserve">Priešmokyklinio amžiaus vaikų (mokinių), tenkančių vienam pagalbos specialistui, skaičius, </w:t>
                  </w:r>
                  <w:proofErr w:type="spellStart"/>
                  <w:r>
                    <w:rPr>
                      <w:color w:val="000000"/>
                    </w:rPr>
                    <w:t>Asm</w:t>
                  </w:r>
                  <w:proofErr w:type="spellEnd"/>
                  <w:r>
                    <w:rPr>
                      <w:color w:val="000000"/>
                    </w:rPr>
                    <w:t>.</w:t>
                  </w:r>
                </w:p>
              </w:tc>
              <w:tc>
                <w:tcPr>
                  <w:tcW w:w="70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6A2336">
                  <w:pPr>
                    <w:spacing w:after="0" w:line="240" w:lineRule="auto"/>
                    <w:jc w:val="center"/>
                  </w:pPr>
                  <w:r>
                    <w:rPr>
                      <w:color w:val="000000"/>
                    </w:rPr>
                    <w:t>2.00</w:t>
                  </w:r>
                </w:p>
              </w:tc>
              <w:tc>
                <w:tcPr>
                  <w:tcW w:w="21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0B14DF" w:rsidRDefault="000B14DF">
                  <w:pPr>
                    <w:spacing w:after="0" w:line="240" w:lineRule="auto"/>
                  </w:pPr>
                </w:p>
              </w:tc>
            </w:tr>
          </w:tbl>
          <w:p w:rsidR="000B14DF" w:rsidRDefault="000B14DF">
            <w:pPr>
              <w:spacing w:after="0" w:line="240" w:lineRule="auto"/>
            </w:pPr>
          </w:p>
        </w:tc>
      </w:tr>
      <w:tr w:rsidR="000B14DF">
        <w:trPr>
          <w:trHeight w:val="100"/>
        </w:trPr>
        <w:tc>
          <w:tcPr>
            <w:tcW w:w="9" w:type="dxa"/>
          </w:tcPr>
          <w:p w:rsidR="000B14DF" w:rsidRDefault="000B14DF">
            <w:pPr>
              <w:pStyle w:val="EmptyCellLayoutStyle"/>
              <w:spacing w:after="0" w:line="240" w:lineRule="auto"/>
            </w:pPr>
          </w:p>
        </w:tc>
        <w:tc>
          <w:tcPr>
            <w:tcW w:w="9500" w:type="dxa"/>
          </w:tcPr>
          <w:p w:rsidR="000B14DF" w:rsidRDefault="000B14DF">
            <w:pPr>
              <w:pStyle w:val="EmptyCellLayoutStyle"/>
              <w:spacing w:after="0" w:line="240" w:lineRule="auto"/>
            </w:pPr>
          </w:p>
        </w:tc>
        <w:tc>
          <w:tcPr>
            <w:tcW w:w="3961" w:type="dxa"/>
          </w:tcPr>
          <w:p w:rsidR="000B14DF" w:rsidRDefault="000B14DF">
            <w:pPr>
              <w:pStyle w:val="EmptyCellLayoutStyle"/>
              <w:spacing w:after="0" w:line="240" w:lineRule="auto"/>
            </w:pPr>
          </w:p>
        </w:tc>
      </w:tr>
    </w:tbl>
    <w:p w:rsidR="000B14DF" w:rsidRDefault="000B14DF">
      <w:pPr>
        <w:spacing w:after="0" w:line="240" w:lineRule="auto"/>
      </w:pPr>
    </w:p>
    <w:p w:rsidR="00E3410A" w:rsidRDefault="00E3410A">
      <w:pPr>
        <w:spacing w:after="0" w:line="240" w:lineRule="auto"/>
      </w:pPr>
      <w:r>
        <w:t>PRITATRA</w:t>
      </w:r>
    </w:p>
    <w:p w:rsidR="00E3410A" w:rsidRDefault="00E3410A">
      <w:pPr>
        <w:spacing w:after="0" w:line="240" w:lineRule="auto"/>
      </w:pPr>
      <w:r>
        <w:t xml:space="preserve">Kauno lopšelio-darželio „Tukas“ </w:t>
      </w:r>
    </w:p>
    <w:p w:rsidR="00E3410A" w:rsidRDefault="00E3410A">
      <w:pPr>
        <w:spacing w:after="0" w:line="240" w:lineRule="auto"/>
      </w:pPr>
      <w:r>
        <w:t>Tarybos 2025 m. sausio 24 d.</w:t>
      </w:r>
    </w:p>
    <w:p w:rsidR="00E3410A" w:rsidRDefault="00E3410A">
      <w:pPr>
        <w:spacing w:after="0" w:line="240" w:lineRule="auto"/>
      </w:pPr>
      <w:r>
        <w:t>Protokoliniu nutarimus Nr. LDT-1</w:t>
      </w:r>
    </w:p>
    <w:sectPr w:rsidR="00E3410A">
      <w:pgSz w:w="16837" w:h="11905"/>
      <w:pgMar w:top="1133" w:right="1133" w:bottom="1133" w:left="1133"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DF"/>
    <w:rsid w:val="0006076C"/>
    <w:rsid w:val="000B14DF"/>
    <w:rsid w:val="00670E0B"/>
    <w:rsid w:val="006A2336"/>
    <w:rsid w:val="00794F21"/>
    <w:rsid w:val="00B14CD0"/>
    <w:rsid w:val="00E341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FB97"/>
  <w15:docId w15:val="{F2B953E6-5917-4953-B5A7-C4CD4509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18754</Words>
  <Characters>10690</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TUKASi5</dc:creator>
  <dc:description/>
  <cp:lastModifiedBy>TUKASi5</cp:lastModifiedBy>
  <cp:revision>2</cp:revision>
  <dcterms:created xsi:type="dcterms:W3CDTF">2025-10-10T10:45:00Z</dcterms:created>
  <dcterms:modified xsi:type="dcterms:W3CDTF">2025-10-10T10:45:00Z</dcterms:modified>
</cp:coreProperties>
</file>